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94488" w14:textId="77777777" w:rsidR="00F92950" w:rsidRDefault="00F92950">
      <w:r>
        <w:t>Congrats! Your F30/F31 has been transmitted to the NIH from Pitt or CMU…now what?</w:t>
      </w:r>
    </w:p>
    <w:p w14:paraId="46862946" w14:textId="77777777" w:rsidR="00F92950" w:rsidRDefault="00F92950"/>
    <w:p w14:paraId="3392AB30" w14:textId="18CE873C" w:rsidR="00F92950" w:rsidRDefault="00F92950">
      <w:r>
        <w:t>Once it’s been transmitted, you have 48 hours to review your grant on eRA Commons. Double check to make sure everything was included. If there is an issue, let your Pitt/CMU grants admin know</w:t>
      </w:r>
      <w:r w:rsidR="00E51E54">
        <w:t xml:space="preserve"> asap</w:t>
      </w:r>
      <w:r>
        <w:t>.</w:t>
      </w:r>
    </w:p>
    <w:p w14:paraId="45B39F9D" w14:textId="77777777" w:rsidR="00F92950" w:rsidRDefault="00F92950"/>
    <w:p w14:paraId="566DAD2B" w14:textId="51FB7332" w:rsidR="002A1FCA" w:rsidRDefault="00F92950">
      <w:r>
        <w:t>After submitting, your grant will be assigned a study section with a time and date. About 24-48 hours after the study section meets, your impact score will be posted. Some institutes also post percentiles (</w:t>
      </w:r>
      <w:r w:rsidR="00C746ED">
        <w:t xml:space="preserve">but for example, the </w:t>
      </w:r>
      <w:r>
        <w:t xml:space="preserve">NIA does not). </w:t>
      </w:r>
    </w:p>
    <w:p w14:paraId="3117B0F5" w14:textId="36488F22" w:rsidR="00F92950" w:rsidRDefault="00F92950" w:rsidP="00F92950">
      <w:pPr>
        <w:pStyle w:val="ListParagraph"/>
        <w:numPr>
          <w:ilvl w:val="0"/>
          <w:numId w:val="1"/>
        </w:numPr>
      </w:pPr>
      <w:r>
        <w:t>You may not get an impact score. 50% of grants aren’t discussed</w:t>
      </w:r>
      <w:r w:rsidR="0099798B">
        <w:t>, and thus don’t get an impact score</w:t>
      </w:r>
      <w:r>
        <w:t xml:space="preserve">. If your grant isn’t discussed, that means it </w:t>
      </w:r>
      <w:r w:rsidR="00170984">
        <w:t>won’t be</w:t>
      </w:r>
      <w:r>
        <w:t xml:space="preserve"> funded. Once you get your summary statement in 3-4 weeks, talk with your PI and PO (contact info can be found on eRA Commons) about resubmitting.</w:t>
      </w:r>
    </w:p>
    <w:p w14:paraId="21F496A4" w14:textId="7A58A896" w:rsidR="00F92950" w:rsidRDefault="00F92950" w:rsidP="000A1DA1">
      <w:pPr>
        <w:pStyle w:val="ListParagraph"/>
        <w:numPr>
          <w:ilvl w:val="0"/>
          <w:numId w:val="1"/>
        </w:numPr>
      </w:pPr>
      <w:r>
        <w:t xml:space="preserve">If your grant was scored, </w:t>
      </w:r>
      <w:r w:rsidR="002602BB">
        <w:t xml:space="preserve">congrats! Depending on your impact score/percentile, you/your PI might be able to tell if it’s likely to be funded. Funding depends on the institute you applied to. This link can be helpful: </w:t>
      </w:r>
      <w:hyperlink r:id="rId5" w:history="1">
        <w:r w:rsidR="002602BB" w:rsidRPr="00191048">
          <w:rPr>
            <w:rStyle w:val="Hyperlink"/>
          </w:rPr>
          <w:t>https://writedit.wordpress.com/nih-paylines-resources/</w:t>
        </w:r>
      </w:hyperlink>
      <w:r w:rsidR="002602BB">
        <w:t xml:space="preserve">. Some Institutes are explicit about paylines on their website (here’s the NIA’s: </w:t>
      </w:r>
      <w:hyperlink r:id="rId6" w:anchor=":~:text=NIA%20and%20NIH%20received%20an,in%20the%20Notice%20of%20Award" w:history="1">
        <w:r w:rsidR="000A1DA1" w:rsidRPr="0078657D">
          <w:rPr>
            <w:rStyle w:val="Hyperlink"/>
          </w:rPr>
          <w:t>https://www.nia.nih.gov/research/grants-funding/nia-funding-line-policy-fy-2022#:~:text=NIA%20and%20NIH%20received%20an,in%20the%20Notice%20of%20Award</w:t>
        </w:r>
      </w:hyperlink>
      <w:r w:rsidR="002602BB">
        <w:t xml:space="preserve">). You still </w:t>
      </w:r>
      <w:proofErr w:type="gramStart"/>
      <w:r w:rsidR="002602BB">
        <w:t>have to</w:t>
      </w:r>
      <w:proofErr w:type="gramEnd"/>
      <w:r w:rsidR="002602BB">
        <w:t xml:space="preserve"> wait 3-4 weeks to get your summary statement back. Keep checking eRA Commons. Once you’ve reviewed your summary statement with your PI, email the PO to see what their thoughts are</w:t>
      </w:r>
      <w:r w:rsidR="00426BD0">
        <w:t xml:space="preserve"> (likelihood of funding, needing to resubmit,</w:t>
      </w:r>
      <w:r w:rsidR="00F27AB5">
        <w:t xml:space="preserve"> </w:t>
      </w:r>
      <w:r w:rsidR="00426BD0">
        <w:t>etc).</w:t>
      </w:r>
    </w:p>
    <w:p w14:paraId="15AC955C" w14:textId="61D66E77" w:rsidR="000238B1" w:rsidRDefault="000238B1" w:rsidP="000A1DA1">
      <w:pPr>
        <w:pStyle w:val="ListParagraph"/>
        <w:numPr>
          <w:ilvl w:val="0"/>
          <w:numId w:val="1"/>
        </w:numPr>
      </w:pPr>
      <w:r>
        <w:t>If your PO suggests resubmission, it’s possible the initial submission could still be funded if it was close to the payline.</w:t>
      </w:r>
    </w:p>
    <w:p w14:paraId="778B2BAF" w14:textId="3EF7AE64" w:rsidR="000238B1" w:rsidRDefault="000238B1" w:rsidP="000238B1">
      <w:pPr>
        <w:pStyle w:val="ListParagraph"/>
        <w:numPr>
          <w:ilvl w:val="1"/>
          <w:numId w:val="1"/>
        </w:numPr>
      </w:pPr>
      <w:r>
        <w:t xml:space="preserve">I resubmitted my F30, </w:t>
      </w:r>
      <w:r w:rsidR="00EE15C5">
        <w:t xml:space="preserve">and </w:t>
      </w:r>
      <w:r>
        <w:t xml:space="preserve">it was reviewed by the study section. They posted the resubmission impact score, </w:t>
      </w:r>
      <w:r w:rsidR="003D6FC1">
        <w:t>but</w:t>
      </w:r>
      <w:r>
        <w:t xml:space="preserve"> 12 hours late</w:t>
      </w:r>
      <w:r w:rsidR="008171A0">
        <w:t>r</w:t>
      </w:r>
      <w:r>
        <w:t xml:space="preserve"> sent me the No</w:t>
      </w:r>
      <w:r w:rsidR="00E84BE6">
        <w:t>tice of Award</w:t>
      </w:r>
      <w:r>
        <w:t xml:space="preserve"> for the initial submission (Grace).</w:t>
      </w:r>
    </w:p>
    <w:p w14:paraId="7CD45F3F" w14:textId="706F8913" w:rsidR="00426BD0" w:rsidRDefault="00426BD0" w:rsidP="00426BD0"/>
    <w:p w14:paraId="01EA8DB3" w14:textId="6EF483CB" w:rsidR="00426BD0" w:rsidRDefault="00426BD0" w:rsidP="00426BD0">
      <w:r>
        <w:t>If the PO suggests that your grant might get funded, that’s great! They make the funding decisions at the council meeting. Your council meeting day will be listed in eRA Commons. If your grant is likely to be funded, you will get a JIT request. For all scored grants, the JIT button will appear on eRA Commons, but don’t submit anything unless you get asked to. Some Institutes will email you directly about JIT (NHLBI) while others (NIA) will send the request to OSP (Pitt) and OSP will forward the request to you and your grants administrator.</w:t>
      </w:r>
      <w:r w:rsidR="00F27AB5">
        <w:t xml:space="preserve"> Do not submit any JIT requests yourself</w:t>
      </w:r>
      <w:r w:rsidR="00A65C2C">
        <w:t xml:space="preserve"> without checking with your </w:t>
      </w:r>
      <w:proofErr w:type="gramStart"/>
      <w:r w:rsidR="00A65C2C">
        <w:t>grants</w:t>
      </w:r>
      <w:proofErr w:type="gramEnd"/>
      <w:r w:rsidR="00A65C2C">
        <w:t xml:space="preserve"> admin first</w:t>
      </w:r>
      <w:r w:rsidR="00F27AB5">
        <w:t xml:space="preserve">. </w:t>
      </w:r>
      <w:r w:rsidR="00A65C2C">
        <w:t xml:space="preserve">Depending </w:t>
      </w:r>
      <w:r w:rsidR="00F27AB5">
        <w:t>on the situation, you might or might not be allowed to upload the documents yourself</w:t>
      </w:r>
      <w:r w:rsidR="00A65C2C">
        <w:t xml:space="preserve"> (it may need to be done by your grants admin)</w:t>
      </w:r>
      <w:r w:rsidR="00F27AB5">
        <w:t>.</w:t>
      </w:r>
      <w:r>
        <w:t xml:space="preserve"> </w:t>
      </w:r>
      <w:r w:rsidR="004948F3">
        <w:t>Some p</w:t>
      </w:r>
      <w:r w:rsidR="00A65C2C">
        <w:t>otential t</w:t>
      </w:r>
      <w:r>
        <w:t>ypes of JIT requests</w:t>
      </w:r>
      <w:r w:rsidR="00A65C2C">
        <w:t xml:space="preserve"> include</w:t>
      </w:r>
      <w:r>
        <w:t>:</w:t>
      </w:r>
    </w:p>
    <w:p w14:paraId="3BDF0144" w14:textId="427BB1F0" w:rsidR="00426BD0" w:rsidRDefault="00426BD0" w:rsidP="00426BD0">
      <w:pPr>
        <w:pStyle w:val="ListParagraph"/>
        <w:numPr>
          <w:ilvl w:val="0"/>
          <w:numId w:val="2"/>
        </w:numPr>
      </w:pPr>
      <w:r>
        <w:t xml:space="preserve">Confirmation of budget. Ask Kathy to confirm, then forward this confirmation to your </w:t>
      </w:r>
      <w:proofErr w:type="gramStart"/>
      <w:r>
        <w:t>grants</w:t>
      </w:r>
      <w:proofErr w:type="gramEnd"/>
      <w:r>
        <w:t xml:space="preserve"> administrator.</w:t>
      </w:r>
    </w:p>
    <w:p w14:paraId="1E662838" w14:textId="6D0C9F66" w:rsidR="00426BD0" w:rsidRDefault="00426BD0" w:rsidP="00426BD0">
      <w:pPr>
        <w:pStyle w:val="ListParagraph"/>
        <w:numPr>
          <w:ilvl w:val="0"/>
          <w:numId w:val="2"/>
        </w:numPr>
      </w:pPr>
      <w:r>
        <w:t>IACUC protocol information. Some Institutes ask for this as JIT</w:t>
      </w:r>
      <w:r w:rsidR="006D161E">
        <w:t>.</w:t>
      </w:r>
      <w:r>
        <w:t xml:space="preserve"> </w:t>
      </w:r>
      <w:r w:rsidR="006D161E">
        <w:t>Others don’t, and you only need to provide it to Pitt</w:t>
      </w:r>
      <w:r>
        <w:t xml:space="preserve"> </w:t>
      </w:r>
      <w:r w:rsidR="006D161E">
        <w:t>after you’ve received your</w:t>
      </w:r>
      <w:r>
        <w:t xml:space="preserve"> No</w:t>
      </w:r>
      <w:r w:rsidR="00263FFD">
        <w:t>tice of Award</w:t>
      </w:r>
      <w:r>
        <w:t>.</w:t>
      </w:r>
    </w:p>
    <w:p w14:paraId="184BEBF7" w14:textId="412B8E57" w:rsidR="008866CB" w:rsidRDefault="008866CB" w:rsidP="008866CB">
      <w:pPr>
        <w:pStyle w:val="ListParagraph"/>
        <w:numPr>
          <w:ilvl w:val="0"/>
          <w:numId w:val="2"/>
        </w:numPr>
      </w:pPr>
      <w:r>
        <w:t>Confirmation of sponsors, other support (sample form – attached at the end)</w:t>
      </w:r>
    </w:p>
    <w:p w14:paraId="72FE9AEC" w14:textId="03EC67DB" w:rsidR="00426BD0" w:rsidRDefault="00426BD0" w:rsidP="00426BD0"/>
    <w:p w14:paraId="1F58F595" w14:textId="5006569C" w:rsidR="00426BD0" w:rsidRDefault="00426BD0" w:rsidP="00426BD0">
      <w:r>
        <w:t xml:space="preserve">You’ve sent the JIT in, now what? More waiting. </w:t>
      </w:r>
      <w:r w:rsidR="000A1DA1">
        <w:t>If your grant is going to be funded, there will be status changes occurring in eRA Commons</w:t>
      </w:r>
      <w:r w:rsidR="00F27AB5">
        <w:t xml:space="preserve"> over the coming months</w:t>
      </w:r>
      <w:r w:rsidR="000A1DA1">
        <w:t>.</w:t>
      </w:r>
    </w:p>
    <w:p w14:paraId="4BBEC2E5" w14:textId="70479D3C" w:rsidR="000A1DA1" w:rsidRDefault="000A1DA1" w:rsidP="00426BD0"/>
    <w:p w14:paraId="06680308" w14:textId="31CE11C6" w:rsidR="000A1DA1" w:rsidRDefault="00F27AB5" w:rsidP="00426BD0">
      <w:r>
        <w:t xml:space="preserve">Example of </w:t>
      </w:r>
      <w:r w:rsidR="000A1DA1">
        <w:t>eRA Commons Status changes of a grant that was funded:</w:t>
      </w:r>
    </w:p>
    <w:p w14:paraId="68582D3B" w14:textId="251C2D99" w:rsidR="000A1DA1" w:rsidRDefault="000A1DA1" w:rsidP="000A1DA1">
      <w:pPr>
        <w:pStyle w:val="ListParagraph"/>
        <w:numPr>
          <w:ilvl w:val="0"/>
          <w:numId w:val="3"/>
        </w:numPr>
      </w:pPr>
      <w:r>
        <w:t xml:space="preserve">Application </w:t>
      </w:r>
      <w:proofErr w:type="gramStart"/>
      <w:r>
        <w:t>entered into</w:t>
      </w:r>
      <w:proofErr w:type="gramEnd"/>
      <w:r>
        <w:t xml:space="preserve"> system</w:t>
      </w:r>
    </w:p>
    <w:p w14:paraId="450E04FF" w14:textId="67959DF1" w:rsidR="000A1DA1" w:rsidRDefault="000A1DA1" w:rsidP="000A1DA1">
      <w:pPr>
        <w:pStyle w:val="ListParagraph"/>
        <w:numPr>
          <w:ilvl w:val="0"/>
          <w:numId w:val="3"/>
        </w:numPr>
      </w:pPr>
      <w:r>
        <w:t>Scientific Review Group review pending.</w:t>
      </w:r>
    </w:p>
    <w:p w14:paraId="28741B97" w14:textId="74909029" w:rsidR="000A1DA1" w:rsidRDefault="000A1DA1" w:rsidP="000A1DA1">
      <w:pPr>
        <w:pStyle w:val="ListParagraph"/>
        <w:numPr>
          <w:ilvl w:val="0"/>
          <w:numId w:val="3"/>
        </w:numPr>
      </w:pPr>
      <w:r>
        <w:t>Scientific Review Group review completed.</w:t>
      </w:r>
    </w:p>
    <w:p w14:paraId="71D91D16" w14:textId="4C8EDBD8" w:rsidR="000A1DA1" w:rsidRDefault="000A1DA1" w:rsidP="000A1DA1">
      <w:pPr>
        <w:pStyle w:val="ListParagraph"/>
        <w:numPr>
          <w:ilvl w:val="0"/>
          <w:numId w:val="3"/>
        </w:numPr>
      </w:pPr>
      <w:r>
        <w:t>Pending administrative review.</w:t>
      </w:r>
    </w:p>
    <w:p w14:paraId="1F94DD7D" w14:textId="0B7E4B9E" w:rsidR="000A1DA1" w:rsidRDefault="000A1DA1" w:rsidP="000A1DA1">
      <w:pPr>
        <w:pStyle w:val="ListParagraph"/>
        <w:numPr>
          <w:ilvl w:val="0"/>
          <w:numId w:val="3"/>
        </w:numPr>
      </w:pPr>
      <w:r>
        <w:t>Award prepared.</w:t>
      </w:r>
    </w:p>
    <w:p w14:paraId="0727A69F" w14:textId="3C12A798" w:rsidR="000A1DA1" w:rsidRDefault="000A1DA1" w:rsidP="000A1DA1">
      <w:pPr>
        <w:pStyle w:val="ListParagraph"/>
        <w:numPr>
          <w:ilvl w:val="0"/>
          <w:numId w:val="3"/>
        </w:numPr>
      </w:pPr>
      <w:r>
        <w:t>Fellowship awarded.</w:t>
      </w:r>
    </w:p>
    <w:p w14:paraId="32B43C06" w14:textId="31AD04A8" w:rsidR="000A1DA1" w:rsidRDefault="000A1DA1" w:rsidP="000A1DA1"/>
    <w:p w14:paraId="2621E3E6" w14:textId="5BC8698E" w:rsidR="00F27AB5" w:rsidRDefault="00F27AB5" w:rsidP="000A1DA1">
      <w:r>
        <w:t>If you</w:t>
      </w:r>
      <w:r w:rsidR="00896A00">
        <w:t>r</w:t>
      </w:r>
      <w:r>
        <w:t xml:space="preserve"> fellowship is awarded, y</w:t>
      </w:r>
      <w:r w:rsidR="000A1DA1">
        <w:t>ou will receive an email with the Notice of Award</w:t>
      </w:r>
      <w:r>
        <w:t xml:space="preserve"> (</w:t>
      </w:r>
      <w:proofErr w:type="spellStart"/>
      <w:r>
        <w:t>NoA</w:t>
      </w:r>
      <w:proofErr w:type="spellEnd"/>
      <w:r>
        <w:t>)</w:t>
      </w:r>
      <w:r w:rsidR="000A1DA1">
        <w:t xml:space="preserve">! It will also be sent to the Pitt OSP who will upload it to PERIS. Congrats! Now what? </w:t>
      </w:r>
    </w:p>
    <w:p w14:paraId="4F01105A" w14:textId="77777777" w:rsidR="00F27AB5" w:rsidRDefault="00F27AB5" w:rsidP="000A1DA1"/>
    <w:p w14:paraId="1E191C10" w14:textId="77777777" w:rsidR="00F27AB5" w:rsidRDefault="000A1DA1" w:rsidP="000A1DA1">
      <w:r>
        <w:t xml:space="preserve">Email your Pitt grants administrator to let them know. </w:t>
      </w:r>
    </w:p>
    <w:p w14:paraId="3C02219B" w14:textId="77777777" w:rsidR="008866CB" w:rsidRDefault="000A1DA1" w:rsidP="00F27AB5">
      <w:pPr>
        <w:pStyle w:val="ListParagraph"/>
        <w:numPr>
          <w:ilvl w:val="0"/>
          <w:numId w:val="5"/>
        </w:numPr>
      </w:pPr>
      <w:r>
        <w:t xml:space="preserve">You will need to update your annual COI disclosures. </w:t>
      </w:r>
    </w:p>
    <w:p w14:paraId="097F7847" w14:textId="4E2AAAC9" w:rsidR="00F27AB5" w:rsidRDefault="008866CB" w:rsidP="008866CB">
      <w:pPr>
        <w:pStyle w:val="ListParagraph"/>
        <w:numPr>
          <w:ilvl w:val="1"/>
          <w:numId w:val="5"/>
        </w:numPr>
      </w:pPr>
      <w:r>
        <w:t>At Pitt, y</w:t>
      </w:r>
      <w:r w:rsidR="000A1DA1">
        <w:t>ou likely won’t be a mandatory COI disclos</w:t>
      </w:r>
      <w:r w:rsidR="00DC003D">
        <w:t>er</w:t>
      </w:r>
      <w:r w:rsidR="000A1DA1">
        <w:t>, so have your PI submit a form to make</w:t>
      </w:r>
      <w:r w:rsidR="00575126">
        <w:t xml:space="preserve"> you one (</w:t>
      </w:r>
      <w:hyperlink r:id="rId7" w:history="1">
        <w:r w:rsidR="00575126" w:rsidRPr="00191048">
          <w:rPr>
            <w:rStyle w:val="Hyperlink"/>
          </w:rPr>
          <w:t>https://pitt.co1.qualtrics.com/jfe/form/SV_1AMqmOqANF69Bd3</w:t>
        </w:r>
      </w:hyperlink>
      <w:r w:rsidR="00575126">
        <w:t xml:space="preserve">). </w:t>
      </w:r>
      <w:r w:rsidR="00C12C7C">
        <w:t>For the form, y</w:t>
      </w:r>
      <w:r w:rsidR="00D03F12">
        <w:t>our PI is your primary supervisor.</w:t>
      </w:r>
      <w:r w:rsidR="00832CAF">
        <w:t xml:space="preserve"> If your mentor has an appointment through Pitt and UPMC, this </w:t>
      </w:r>
      <w:r w:rsidR="000530FE">
        <w:t>should be</w:t>
      </w:r>
      <w:r w:rsidR="00832CAF">
        <w:t xml:space="preserve"> done using their Pitt account (not their UPMC account).</w:t>
      </w:r>
    </w:p>
    <w:p w14:paraId="55E6B191" w14:textId="053A27B7" w:rsidR="008866CB" w:rsidRDefault="008866CB" w:rsidP="008866CB">
      <w:pPr>
        <w:pStyle w:val="ListParagraph"/>
        <w:numPr>
          <w:ilvl w:val="1"/>
          <w:numId w:val="5"/>
        </w:numPr>
      </w:pPr>
      <w:r>
        <w:t>For CMU: you will be emailed about this update as per the annual deadline.</w:t>
      </w:r>
    </w:p>
    <w:p w14:paraId="6C5368E5" w14:textId="14E51EA8" w:rsidR="00F27AB5" w:rsidRDefault="00F27AB5" w:rsidP="00F27AB5">
      <w:pPr>
        <w:pStyle w:val="ListParagraph"/>
        <w:numPr>
          <w:ilvl w:val="0"/>
          <w:numId w:val="5"/>
        </w:numPr>
      </w:pPr>
      <w:r>
        <w:t>If not requested as JIT</w:t>
      </w:r>
      <w:r w:rsidR="00C255FB">
        <w:t xml:space="preserve"> info</w:t>
      </w:r>
      <w:r>
        <w:t>, y</w:t>
      </w:r>
      <w:r w:rsidR="00575126">
        <w:t>ou will need to submit your IACUC protocol for grants administrative review</w:t>
      </w:r>
      <w:r w:rsidR="0091703D">
        <w:t xml:space="preserve"> (GAR; </w:t>
      </w:r>
      <w:hyperlink r:id="rId8" w:history="1">
        <w:r w:rsidR="0091703D" w:rsidRPr="006F6D8F">
          <w:rPr>
            <w:rStyle w:val="Hyperlink"/>
          </w:rPr>
          <w:t>https://pitt.co1.qualtrics.com/jfe/form/SV_3ZPmDGppaibygId?Q_JFE=qdg</w:t>
        </w:r>
      </w:hyperlink>
      <w:r w:rsidR="00575126">
        <w:t xml:space="preserve"> ) and send your grants administrator the approval letter(s) of the IACUC protocol(s)</w:t>
      </w:r>
      <w:r w:rsidR="00C255FB">
        <w:t xml:space="preserve"> if you do animal work</w:t>
      </w:r>
      <w:r w:rsidR="00575126">
        <w:t xml:space="preserve">. </w:t>
      </w:r>
    </w:p>
    <w:p w14:paraId="659D102B" w14:textId="628C5B22" w:rsidR="008B53F7" w:rsidRDefault="008B53F7" w:rsidP="00F27AB5">
      <w:pPr>
        <w:pStyle w:val="ListParagraph"/>
        <w:numPr>
          <w:ilvl w:val="0"/>
          <w:numId w:val="5"/>
        </w:numPr>
      </w:pPr>
      <w:r>
        <w:t>You may also need to submit an EHS approval letter</w:t>
      </w:r>
      <w:r w:rsidR="00DE68E9">
        <w:t xml:space="preserve"> (also known as Bio and Chemical Assurance Letter)</w:t>
      </w:r>
      <w:r>
        <w:t>. Call EHS and ask for one.</w:t>
      </w:r>
      <w:r w:rsidR="002D5041">
        <w:t xml:space="preserve"> </w:t>
      </w:r>
      <w:r w:rsidR="00DE68E9">
        <w:t>Remind them that you are the PI of the grant</w:t>
      </w:r>
      <w:r w:rsidR="005D65BA">
        <w:t>,</w:t>
      </w:r>
      <w:r w:rsidR="00DE68E9">
        <w:t xml:space="preserve"> and you are in the lab of your sponsor.</w:t>
      </w:r>
    </w:p>
    <w:p w14:paraId="3F071D77" w14:textId="075AD906" w:rsidR="000A1DA1" w:rsidRDefault="00575126" w:rsidP="00F27AB5">
      <w:pPr>
        <w:pStyle w:val="ListParagraph"/>
        <w:numPr>
          <w:ilvl w:val="0"/>
          <w:numId w:val="5"/>
        </w:numPr>
      </w:pPr>
      <w:r>
        <w:t xml:space="preserve">Finally, you will need to mail the NIH your activation </w:t>
      </w:r>
      <w:proofErr w:type="gramStart"/>
      <w:r>
        <w:t>notice</w:t>
      </w:r>
      <w:proofErr w:type="gramEnd"/>
      <w:r>
        <w:t xml:space="preserve"> to the address listed on your </w:t>
      </w:r>
      <w:proofErr w:type="spellStart"/>
      <w:r>
        <w:t>NoA</w:t>
      </w:r>
      <w:proofErr w:type="spellEnd"/>
      <w:r>
        <w:t xml:space="preserve"> (it’s institute specific). On the activation</w:t>
      </w:r>
      <w:r w:rsidR="00F27AB5">
        <w:t xml:space="preserve"> notice,</w:t>
      </w:r>
      <w:r>
        <w:t xml:space="preserve"> you will need to put your grant start date. Contact your GMS (contact info found on eRA Commons) if you have questions about when the grant can be started. The date listed on the </w:t>
      </w:r>
      <w:proofErr w:type="spellStart"/>
      <w:r>
        <w:t>NoA</w:t>
      </w:r>
      <w:proofErr w:type="spellEnd"/>
      <w:r>
        <w:t xml:space="preserve"> is the last possible date the grant can be started</w:t>
      </w:r>
      <w:r w:rsidR="001B07A1">
        <w:t xml:space="preserve"> (not the earliest)</w:t>
      </w:r>
      <w:r>
        <w:t>.</w:t>
      </w:r>
      <w:r w:rsidR="00C51A6C">
        <w:t xml:space="preserve"> </w:t>
      </w:r>
      <w:r w:rsidR="00D72D62">
        <w:t>When you mail it in, pay to certify it at the post office, so you can track it.</w:t>
      </w:r>
    </w:p>
    <w:p w14:paraId="719B033B" w14:textId="4818646E" w:rsidR="007751ED" w:rsidRDefault="0042513F" w:rsidP="000A1DA1">
      <w:pPr>
        <w:pStyle w:val="ListParagraph"/>
        <w:numPr>
          <w:ilvl w:val="1"/>
          <w:numId w:val="5"/>
        </w:numPr>
      </w:pPr>
      <w:r>
        <w:t xml:space="preserve">This may be institute specific, but the NIA allows activation on the day you received the </w:t>
      </w:r>
      <w:proofErr w:type="spellStart"/>
      <w:r>
        <w:t>NoA</w:t>
      </w:r>
      <w:proofErr w:type="spellEnd"/>
      <w:r>
        <w:t>.</w:t>
      </w:r>
    </w:p>
    <w:p w14:paraId="6AD1A8D3" w14:textId="7BD4941B" w:rsidR="00F0682D" w:rsidRDefault="00F0682D" w:rsidP="007C42D4">
      <w:pPr>
        <w:pStyle w:val="ListParagraph"/>
        <w:numPr>
          <w:ilvl w:val="1"/>
          <w:numId w:val="5"/>
        </w:numPr>
      </w:pPr>
      <w:r>
        <w:t>For CMU – you can email the Activation Form to your grants administrator who will send it to the Grants Manager assigned to your grant at the corresponding institute</w:t>
      </w:r>
    </w:p>
    <w:p w14:paraId="0E21D50A" w14:textId="77777777" w:rsidR="007751ED" w:rsidRDefault="007751ED" w:rsidP="000A1DA1"/>
    <w:p w14:paraId="4DCAC761" w14:textId="052BD83A" w:rsidR="00575126" w:rsidRDefault="00575126" w:rsidP="000A1DA1">
      <w:proofErr w:type="gramStart"/>
      <w:r>
        <w:lastRenderedPageBreak/>
        <w:t>So</w:t>
      </w:r>
      <w:proofErr w:type="gramEnd"/>
      <w:r>
        <w:t xml:space="preserve"> you’ve submitted all your paperwork </w:t>
      </w:r>
      <w:r w:rsidR="00F84106">
        <w:t>to start the grant</w:t>
      </w:r>
      <w:r>
        <w:t xml:space="preserve">…what happens now? </w:t>
      </w:r>
    </w:p>
    <w:p w14:paraId="47FB39BF" w14:textId="5500D365" w:rsidR="00575126" w:rsidRDefault="00575126" w:rsidP="000A1DA1"/>
    <w:p w14:paraId="1BBA9BAB" w14:textId="78FFF4FF" w:rsidR="008B53F7" w:rsidRDefault="008B53F7" w:rsidP="000A1DA1">
      <w:r>
        <w:t>You will need to have your graduate program update your appointment</w:t>
      </w:r>
      <w:r w:rsidR="007B64CA">
        <w:t xml:space="preserve"> in Pitt Worx</w:t>
      </w:r>
      <w:r>
        <w:t xml:space="preserve"> if you are currently not a fellow (on a training grant or other fellowship). Email your graduate program director about this.</w:t>
      </w:r>
      <w:r w:rsidR="007B64CA">
        <w:t xml:space="preserve"> You will be switching from a Graduate Student Researcher (GSR) to Pre-doctoral fellow.</w:t>
      </w:r>
    </w:p>
    <w:p w14:paraId="0E66D8BF" w14:textId="301E041A" w:rsidR="00AE2A7C" w:rsidRDefault="00AE2A7C" w:rsidP="00AE2A7C">
      <w:pPr>
        <w:pStyle w:val="ListParagraph"/>
        <w:numPr>
          <w:ilvl w:val="0"/>
          <w:numId w:val="6"/>
        </w:numPr>
      </w:pPr>
      <w:r>
        <w:t>For CMP, payroll in your mentor’s department will be the one to change your appointment, but they will work with Pathology payroll to make sure it’s done correctly.</w:t>
      </w:r>
    </w:p>
    <w:p w14:paraId="0A902F0E" w14:textId="612881C2" w:rsidR="00490CB8" w:rsidRDefault="00490CB8" w:rsidP="00490CB8">
      <w:pPr>
        <w:pStyle w:val="ListParagraph"/>
        <w:numPr>
          <w:ilvl w:val="0"/>
          <w:numId w:val="6"/>
        </w:numPr>
      </w:pPr>
      <w:r>
        <w:t xml:space="preserve">For CMU – </w:t>
      </w:r>
      <w:proofErr w:type="gramStart"/>
      <w:r>
        <w:t>as long as</w:t>
      </w:r>
      <w:proofErr w:type="gramEnd"/>
      <w:r>
        <w:t xml:space="preserve"> you inform your department administrator and CMU grant administrator about the </w:t>
      </w:r>
      <w:proofErr w:type="spellStart"/>
      <w:r>
        <w:t>NoA</w:t>
      </w:r>
      <w:proofErr w:type="spellEnd"/>
      <w:r>
        <w:t>, they will take care of these changes appropriately</w:t>
      </w:r>
      <w:r w:rsidR="008C50F4">
        <w:t>.</w:t>
      </w:r>
    </w:p>
    <w:p w14:paraId="69907434" w14:textId="77777777" w:rsidR="008B53F7" w:rsidRDefault="008B53F7" w:rsidP="000A1DA1"/>
    <w:p w14:paraId="2DF19C04" w14:textId="10988B16" w:rsidR="00575126" w:rsidRDefault="009F29AF" w:rsidP="000A1DA1">
      <w:r>
        <w:t>What happens to the institutional allowance</w:t>
      </w:r>
      <w:r w:rsidR="001B07A1">
        <w:t>?</w:t>
      </w:r>
      <w:r>
        <w:t xml:space="preserve"> Do I get to choose how to spend it (go to conferences, etc)?</w:t>
      </w:r>
    </w:p>
    <w:p w14:paraId="5AC9588E" w14:textId="553DFE89" w:rsidR="00575126" w:rsidRDefault="00575126" w:rsidP="00575126">
      <w:pPr>
        <w:pStyle w:val="ListParagraph"/>
        <w:numPr>
          <w:ilvl w:val="0"/>
          <w:numId w:val="4"/>
        </w:numPr>
      </w:pPr>
      <w:r>
        <w:t xml:space="preserve">This is grad program specific. </w:t>
      </w:r>
      <w:r w:rsidR="00724BBE">
        <w:t>CMP takes your institutional allow</w:t>
      </w:r>
      <w:r w:rsidR="00413B13">
        <w:t>ance</w:t>
      </w:r>
      <w:r w:rsidR="005D5F03">
        <w:t xml:space="preserve"> to pay for your health insurance</w:t>
      </w:r>
      <w:r w:rsidR="00724BBE">
        <w:t xml:space="preserve"> </w:t>
      </w:r>
      <w:r w:rsidR="00724BBE">
        <w:sym w:font="Wingdings" w:char="F04C"/>
      </w:r>
      <w:r w:rsidR="00724BBE">
        <w:t xml:space="preserve"> </w:t>
      </w:r>
      <w:r w:rsidR="009F29AF">
        <w:t xml:space="preserve">Thus, you have to pay out of pocket for health insurance and get reimbursed </w:t>
      </w:r>
      <w:proofErr w:type="gramStart"/>
      <w:r w:rsidR="00724BBE">
        <w:t>For</w:t>
      </w:r>
      <w:proofErr w:type="gramEnd"/>
      <w:r w:rsidR="00724BBE">
        <w:t xml:space="preserve"> health insurance reimbursement, you contact </w:t>
      </w:r>
      <w:r w:rsidR="000D7E34">
        <w:t xml:space="preserve">your </w:t>
      </w:r>
      <w:r w:rsidR="001E208B">
        <w:t xml:space="preserve">mentor’s </w:t>
      </w:r>
      <w:r w:rsidR="000D7E34">
        <w:t>department.</w:t>
      </w:r>
      <w:r w:rsidR="008D1CD0">
        <w:t xml:space="preserve"> The expense reports are submitted through Concur.</w:t>
      </w:r>
    </w:p>
    <w:p w14:paraId="79BE2064" w14:textId="6781AB2F" w:rsidR="000E1A91" w:rsidRDefault="000E1A91" w:rsidP="00575126">
      <w:pPr>
        <w:pStyle w:val="ListParagraph"/>
        <w:numPr>
          <w:ilvl w:val="0"/>
          <w:numId w:val="4"/>
        </w:numPr>
      </w:pPr>
      <w:r>
        <w:t>When you return to med school, the MSTP uses your institutional allowance to pay for your health insurance.</w:t>
      </w:r>
    </w:p>
    <w:p w14:paraId="259F36AD" w14:textId="680148A9" w:rsidR="00575126" w:rsidRDefault="00575126" w:rsidP="000A1DA1"/>
    <w:p w14:paraId="144D75FB" w14:textId="5686C315" w:rsidR="00575126" w:rsidRDefault="005E1BF6" w:rsidP="000A1DA1">
      <w:r>
        <w:t>Will I get paid more since my grant was funded</w:t>
      </w:r>
      <w:r w:rsidR="00724BBE">
        <w:t>?</w:t>
      </w:r>
    </w:p>
    <w:p w14:paraId="6E7B5D06" w14:textId="5F78DBC3" w:rsidR="00724BBE" w:rsidRDefault="00724BBE" w:rsidP="00724BBE">
      <w:pPr>
        <w:pStyle w:val="ListParagraph"/>
        <w:numPr>
          <w:ilvl w:val="0"/>
          <w:numId w:val="4"/>
        </w:numPr>
      </w:pPr>
      <w:r>
        <w:t xml:space="preserve">Not sure if any </w:t>
      </w:r>
      <w:r w:rsidR="00BC240B">
        <w:t xml:space="preserve">grad </w:t>
      </w:r>
      <w:r>
        <w:t xml:space="preserve">program does while you are in grad school. CMP does not </w:t>
      </w:r>
      <w:r>
        <w:sym w:font="Wingdings" w:char="F04C"/>
      </w:r>
    </w:p>
    <w:p w14:paraId="6BE11686" w14:textId="68D4708F" w:rsidR="00496CC2" w:rsidRPr="00490CB8" w:rsidRDefault="00496CC2" w:rsidP="00496CC2">
      <w:pPr>
        <w:pStyle w:val="NormalWeb"/>
        <w:numPr>
          <w:ilvl w:val="0"/>
          <w:numId w:val="4"/>
        </w:numPr>
        <w:shd w:val="clear" w:color="auto" w:fill="FFFFFF"/>
        <w:spacing w:before="0" w:beforeAutospacing="0" w:after="0" w:afterAutospacing="0"/>
        <w:rPr>
          <w:rFonts w:ascii="Calibri" w:hAnsi="Calibri" w:cs="Calibri"/>
          <w:color w:val="201F1E"/>
        </w:rPr>
      </w:pPr>
      <w:r w:rsidRPr="0055144A">
        <w:rPr>
          <w:rFonts w:ascii="Calibri" w:hAnsi="Calibri" w:cs="Calibri"/>
          <w:color w:val="000000"/>
          <w:bdr w:val="none" w:sz="0" w:space="0" w:color="auto" w:frame="1"/>
        </w:rPr>
        <w:t xml:space="preserve">When you return to med school: </w:t>
      </w:r>
      <w:r w:rsidR="00D740FC" w:rsidRPr="0055144A">
        <w:rPr>
          <w:rFonts w:ascii="Calibri" w:hAnsi="Calibri" w:cs="Calibri"/>
          <w:color w:val="000000"/>
          <w:bdr w:val="none" w:sz="0" w:space="0" w:color="auto" w:frame="1"/>
        </w:rPr>
        <w:t>“</w:t>
      </w:r>
      <w:r w:rsidRPr="0055144A">
        <w:rPr>
          <w:rFonts w:ascii="Calibri" w:hAnsi="Calibri" w:cs="Calibri"/>
          <w:color w:val="000000"/>
          <w:bdr w:val="none" w:sz="0" w:space="0" w:color="auto" w:frame="1"/>
        </w:rPr>
        <w:t>Students that return with a F30 receive stipend bonus of $250 per month up to $3,000 per year during medical school enrollment. We calculate how many months remain on your F30 and once your employee record has been transferred back to the MSTP we initiate a onetime direct deposit. If you have more than 1 year remaining on your F30, then September of your MS4 year we would do another direct deposit ($250 x months remain).</w:t>
      </w:r>
      <w:r w:rsidRPr="0055144A">
        <w:rPr>
          <w:rFonts w:ascii="Calibri" w:hAnsi="Calibri" w:cs="Calibri"/>
          <w:color w:val="201F1E"/>
        </w:rPr>
        <w:t xml:space="preserve"> </w:t>
      </w:r>
      <w:r w:rsidRPr="0055144A">
        <w:rPr>
          <w:rFonts w:ascii="Calibri" w:hAnsi="Calibri" w:cs="Calibri"/>
          <w:color w:val="000000"/>
          <w:bdr w:val="none" w:sz="0" w:space="0" w:color="auto" w:frame="1"/>
        </w:rPr>
        <w:t>Your F30 must be transferred to the MSTP office to be eligible for the bonus, please send Kathy your PhD Grant Administrator name and email.</w:t>
      </w:r>
      <w:r w:rsidR="00D740FC" w:rsidRPr="0055144A">
        <w:rPr>
          <w:rFonts w:ascii="Calibri" w:hAnsi="Calibri" w:cs="Calibri"/>
          <w:color w:val="000000"/>
          <w:bdr w:val="none" w:sz="0" w:space="0" w:color="auto" w:frame="1"/>
        </w:rPr>
        <w:t>”</w:t>
      </w:r>
    </w:p>
    <w:p w14:paraId="38EF0CEB" w14:textId="17B21093" w:rsidR="00490CB8" w:rsidRPr="00490CB8" w:rsidRDefault="00490CB8" w:rsidP="00490CB8">
      <w:pPr>
        <w:pStyle w:val="ListParagraph"/>
        <w:numPr>
          <w:ilvl w:val="0"/>
          <w:numId w:val="4"/>
        </w:numPr>
      </w:pPr>
      <w:r>
        <w:t xml:space="preserve">Since NINDS F31’s </w:t>
      </w:r>
      <w:proofErr w:type="gramStart"/>
      <w:r>
        <w:t>are</w:t>
      </w:r>
      <w:proofErr w:type="gramEnd"/>
      <w:r>
        <w:t xml:space="preserve"> only restricted to the graduate school years – the stipend bonus during med school is not applicable</w:t>
      </w:r>
      <w:r w:rsidR="00745103">
        <w:t>.</w:t>
      </w:r>
    </w:p>
    <w:p w14:paraId="31B17471" w14:textId="12012942" w:rsidR="00E03264" w:rsidRDefault="00E03264" w:rsidP="00E03264"/>
    <w:p w14:paraId="51988033" w14:textId="2493BE96" w:rsidR="00E03264" w:rsidRDefault="00E03264" w:rsidP="00E03264">
      <w:r>
        <w:t xml:space="preserve">Once the NIH has received </w:t>
      </w:r>
      <w:r w:rsidR="00A8216F">
        <w:t>your</w:t>
      </w:r>
      <w:r>
        <w:t xml:space="preserve"> activation notice and processed it</w:t>
      </w:r>
      <w:r w:rsidR="00A8216F">
        <w:t xml:space="preserve"> (it takes ~1 month)</w:t>
      </w:r>
      <w:r>
        <w:t xml:space="preserve">, you will receive an email from eRA </w:t>
      </w:r>
      <w:r w:rsidR="00EB64F7">
        <w:t>C</w:t>
      </w:r>
      <w:r>
        <w:t>ommons letting you know that the fellowship is activated. Shortly after, your grant will appear on NIH Reporter. Congrats!!! You are officially an NIH-funded researcher!!!</w:t>
      </w:r>
    </w:p>
    <w:p w14:paraId="53035130" w14:textId="414E9054" w:rsidR="00D30DC0" w:rsidRDefault="00D30DC0" w:rsidP="00E03264"/>
    <w:p w14:paraId="7E03C3F3" w14:textId="298233A9" w:rsidR="00D30DC0" w:rsidRDefault="00D30DC0" w:rsidP="00E03264">
      <w:r>
        <w:t xml:space="preserve">At Pitt, as a PI of a grant, you </w:t>
      </w:r>
      <w:proofErr w:type="gramStart"/>
      <w:r>
        <w:t>have to</w:t>
      </w:r>
      <w:proofErr w:type="gramEnd"/>
      <w:r>
        <w:t xml:space="preserve"> certify your percent effort on the grant every quarter. 100% of your effort will be on your </w:t>
      </w:r>
      <w:r w:rsidR="00A65CEC">
        <w:t xml:space="preserve">F </w:t>
      </w:r>
      <w:r>
        <w:t xml:space="preserve">grant, but you cannot certify it yourself. Someone in your mentor’s department will send you paperwork to sign to make your mentor your proxy for </w:t>
      </w:r>
      <w:r>
        <w:lastRenderedPageBreak/>
        <w:t>certification.</w:t>
      </w:r>
      <w:r w:rsidR="00F571DF">
        <w:t xml:space="preserve"> If your mentor has an appointment through Pitt and UPMC, this paperwork </w:t>
      </w:r>
      <w:proofErr w:type="gramStart"/>
      <w:r w:rsidR="00F571DF">
        <w:t>has to</w:t>
      </w:r>
      <w:proofErr w:type="gramEnd"/>
      <w:r w:rsidR="00F571DF">
        <w:t xml:space="preserve"> be done using their Pitt account (not their UPMC account).</w:t>
      </w:r>
    </w:p>
    <w:p w14:paraId="55D3524D" w14:textId="15FCA5D1" w:rsidR="00C71D34" w:rsidRDefault="00C71D34" w:rsidP="00C71D34">
      <w:pPr>
        <w:pStyle w:val="ListParagraph"/>
        <w:numPr>
          <w:ilvl w:val="0"/>
          <w:numId w:val="7"/>
        </w:numPr>
      </w:pPr>
      <w:r>
        <w:t>For CMP, someone in Pathology will likely work with someone in your mentor’s department</w:t>
      </w:r>
      <w:r w:rsidR="003D4E1F">
        <w:t xml:space="preserve"> to create this paperwork</w:t>
      </w:r>
      <w:r>
        <w:t xml:space="preserve"> (if your mentor’s primary appointment is not in the Department of Pathology).</w:t>
      </w:r>
    </w:p>
    <w:p w14:paraId="14539F32" w14:textId="670F0F03" w:rsidR="00014C72" w:rsidRDefault="00014C72" w:rsidP="00014C72"/>
    <w:p w14:paraId="6718FA0B" w14:textId="4307C539" w:rsidR="00014C72" w:rsidRDefault="00014C72" w:rsidP="00014C72">
      <w:r>
        <w:t xml:space="preserve">This </w:t>
      </w:r>
      <w:r w:rsidR="00936E34">
        <w:t xml:space="preserve">document </w:t>
      </w:r>
      <w:r>
        <w:t>may not be 100% accurate for all potential F30/F31 submissions, but this document was drafted and edited by:</w:t>
      </w:r>
    </w:p>
    <w:p w14:paraId="31FD70C0" w14:textId="11B22A7B" w:rsidR="00BA7DDD" w:rsidRDefault="00BA7DDD" w:rsidP="00014C72">
      <w:pPr>
        <w:pStyle w:val="ListParagraph"/>
        <w:numPr>
          <w:ilvl w:val="0"/>
          <w:numId w:val="4"/>
        </w:numPr>
      </w:pPr>
      <w:r>
        <w:t>Name (</w:t>
      </w:r>
      <w:r w:rsidR="00B012CA">
        <w:t>Pitt vs CMU</w:t>
      </w:r>
      <w:r w:rsidR="00565EB2">
        <w:t>,</w:t>
      </w:r>
      <w:r w:rsidR="00B012CA">
        <w:t xml:space="preserve"> </w:t>
      </w:r>
      <w:r>
        <w:t>Grad program): F30 vs F31 from NIH Institute (funded year)</w:t>
      </w:r>
    </w:p>
    <w:p w14:paraId="0E874728" w14:textId="592FB3A9" w:rsidR="00B012CA" w:rsidRDefault="00B012CA" w:rsidP="00B012CA">
      <w:pPr>
        <w:pStyle w:val="ListParagraph"/>
        <w:numPr>
          <w:ilvl w:val="0"/>
          <w:numId w:val="4"/>
        </w:numPr>
      </w:pPr>
      <w:r>
        <w:t>Grace Conway (Pitt</w:t>
      </w:r>
      <w:r w:rsidR="00565EB2">
        <w:t>,</w:t>
      </w:r>
      <w:r>
        <w:t xml:space="preserve"> CMP): F30 from NIA (funded 2022)</w:t>
      </w:r>
    </w:p>
    <w:p w14:paraId="160C4193" w14:textId="45AB6E82" w:rsidR="00D206BF" w:rsidRDefault="00D206BF" w:rsidP="00D206BF">
      <w:pPr>
        <w:pStyle w:val="ListParagraph"/>
        <w:numPr>
          <w:ilvl w:val="0"/>
          <w:numId w:val="4"/>
        </w:numPr>
      </w:pPr>
      <w:r>
        <w:t xml:space="preserve">Shruti </w:t>
      </w:r>
      <w:proofErr w:type="spellStart"/>
      <w:r>
        <w:t>Nanivadekar</w:t>
      </w:r>
      <w:proofErr w:type="spellEnd"/>
      <w:r>
        <w:t xml:space="preserve"> (CMU, PSN): F31 from NINDS (funded 2022)</w:t>
      </w:r>
    </w:p>
    <w:p w14:paraId="5C2A1232" w14:textId="4FC780FA" w:rsidR="00724BBE" w:rsidRDefault="00724BBE" w:rsidP="008866CB"/>
    <w:p w14:paraId="15D198A8" w14:textId="77777777" w:rsidR="00D206BF" w:rsidRDefault="00D206BF" w:rsidP="008866CB">
      <w:pPr>
        <w:pStyle w:val="Heading1"/>
      </w:pPr>
    </w:p>
    <w:p w14:paraId="5E669F56" w14:textId="77777777" w:rsidR="00D206BF" w:rsidRDefault="00D206BF" w:rsidP="008866CB">
      <w:pPr>
        <w:pStyle w:val="Heading1"/>
      </w:pPr>
    </w:p>
    <w:p w14:paraId="4A8CBEDC" w14:textId="77777777" w:rsidR="00D206BF" w:rsidRDefault="00D206BF" w:rsidP="008866CB">
      <w:pPr>
        <w:pStyle w:val="Heading1"/>
      </w:pPr>
    </w:p>
    <w:p w14:paraId="78CD5A54" w14:textId="77777777" w:rsidR="00D206BF" w:rsidRDefault="00D206BF" w:rsidP="008866CB">
      <w:pPr>
        <w:pStyle w:val="Heading1"/>
      </w:pPr>
    </w:p>
    <w:p w14:paraId="5C0659C3" w14:textId="77777777" w:rsidR="00D206BF" w:rsidRDefault="00D206BF" w:rsidP="008866CB">
      <w:pPr>
        <w:pStyle w:val="Heading1"/>
      </w:pPr>
    </w:p>
    <w:p w14:paraId="122DB478" w14:textId="77777777" w:rsidR="00D206BF" w:rsidRDefault="00D206BF" w:rsidP="008866CB">
      <w:pPr>
        <w:pStyle w:val="Heading1"/>
      </w:pPr>
    </w:p>
    <w:p w14:paraId="54375CBA" w14:textId="77777777" w:rsidR="00D206BF" w:rsidRDefault="00D206BF" w:rsidP="008866CB">
      <w:pPr>
        <w:pStyle w:val="Heading1"/>
      </w:pPr>
    </w:p>
    <w:p w14:paraId="26878168" w14:textId="77777777" w:rsidR="00D206BF" w:rsidRDefault="00D206BF" w:rsidP="008866CB">
      <w:pPr>
        <w:pStyle w:val="Heading1"/>
      </w:pPr>
    </w:p>
    <w:p w14:paraId="31A37A57" w14:textId="77777777" w:rsidR="00D206BF" w:rsidRDefault="00D206BF" w:rsidP="008866CB">
      <w:pPr>
        <w:pStyle w:val="Heading1"/>
      </w:pPr>
    </w:p>
    <w:p w14:paraId="775A197C" w14:textId="77777777" w:rsidR="00D206BF" w:rsidRDefault="00D206BF" w:rsidP="008866CB">
      <w:pPr>
        <w:pStyle w:val="Heading1"/>
      </w:pPr>
    </w:p>
    <w:p w14:paraId="0702A973" w14:textId="77777777" w:rsidR="00D206BF" w:rsidRDefault="00D206BF" w:rsidP="008866CB">
      <w:pPr>
        <w:pStyle w:val="Heading1"/>
      </w:pPr>
    </w:p>
    <w:p w14:paraId="749CBB2C" w14:textId="77777777" w:rsidR="00D206BF" w:rsidRDefault="00D206BF" w:rsidP="008866CB">
      <w:pPr>
        <w:pStyle w:val="Heading1"/>
      </w:pPr>
    </w:p>
    <w:p w14:paraId="213C8C81" w14:textId="77777777" w:rsidR="00D206BF" w:rsidRDefault="00D206BF" w:rsidP="008866CB">
      <w:pPr>
        <w:pStyle w:val="Heading1"/>
      </w:pPr>
    </w:p>
    <w:p w14:paraId="7828BFE2" w14:textId="77777777" w:rsidR="00D206BF" w:rsidRDefault="00D206BF" w:rsidP="008866CB">
      <w:pPr>
        <w:pStyle w:val="Heading1"/>
      </w:pPr>
    </w:p>
    <w:p w14:paraId="5F41F16D" w14:textId="77777777" w:rsidR="00D206BF" w:rsidRDefault="00D206BF" w:rsidP="008866CB">
      <w:pPr>
        <w:pStyle w:val="Heading1"/>
      </w:pPr>
    </w:p>
    <w:p w14:paraId="1678576B" w14:textId="77777777" w:rsidR="00D206BF" w:rsidRDefault="00D206BF" w:rsidP="008866CB">
      <w:pPr>
        <w:pStyle w:val="Heading1"/>
      </w:pPr>
    </w:p>
    <w:p w14:paraId="1E240344" w14:textId="77777777" w:rsidR="00D206BF" w:rsidRDefault="00D206BF" w:rsidP="008866CB">
      <w:pPr>
        <w:pStyle w:val="Heading1"/>
      </w:pPr>
    </w:p>
    <w:p w14:paraId="56E4D7EF" w14:textId="77777777" w:rsidR="00D206BF" w:rsidRDefault="00D206BF" w:rsidP="008866CB">
      <w:pPr>
        <w:pStyle w:val="Heading1"/>
      </w:pPr>
    </w:p>
    <w:p w14:paraId="4969A896" w14:textId="77777777" w:rsidR="00D206BF" w:rsidRDefault="00D206BF" w:rsidP="008866CB">
      <w:pPr>
        <w:pStyle w:val="Heading1"/>
      </w:pPr>
    </w:p>
    <w:p w14:paraId="32E274DD" w14:textId="77777777" w:rsidR="00D206BF" w:rsidRDefault="00D206BF" w:rsidP="008866CB">
      <w:pPr>
        <w:pStyle w:val="Heading1"/>
      </w:pPr>
    </w:p>
    <w:p w14:paraId="78CCF9EC" w14:textId="77777777" w:rsidR="00D206BF" w:rsidRDefault="00D206BF" w:rsidP="008866CB">
      <w:pPr>
        <w:pStyle w:val="Heading1"/>
      </w:pPr>
    </w:p>
    <w:p w14:paraId="19C2FC10" w14:textId="77777777" w:rsidR="00D206BF" w:rsidRDefault="00D206BF" w:rsidP="008866CB">
      <w:pPr>
        <w:pStyle w:val="Heading1"/>
      </w:pPr>
    </w:p>
    <w:p w14:paraId="6153A3B2" w14:textId="77777777" w:rsidR="00D206BF" w:rsidRDefault="00D206BF" w:rsidP="008866CB">
      <w:pPr>
        <w:pStyle w:val="Heading1"/>
      </w:pPr>
    </w:p>
    <w:p w14:paraId="222D3851" w14:textId="77777777" w:rsidR="00D206BF" w:rsidRDefault="00D206BF" w:rsidP="008866CB">
      <w:pPr>
        <w:pStyle w:val="Heading1"/>
      </w:pPr>
    </w:p>
    <w:p w14:paraId="23817DB4" w14:textId="77777777" w:rsidR="00D206BF" w:rsidRDefault="00D206BF" w:rsidP="008866CB">
      <w:pPr>
        <w:pStyle w:val="Heading1"/>
      </w:pPr>
    </w:p>
    <w:p w14:paraId="1B94BA7C" w14:textId="77777777" w:rsidR="00D206BF" w:rsidRDefault="00D206BF" w:rsidP="008866CB">
      <w:pPr>
        <w:pStyle w:val="Heading1"/>
      </w:pPr>
    </w:p>
    <w:p w14:paraId="5576F627" w14:textId="77777777" w:rsidR="00D206BF" w:rsidRDefault="00D206BF" w:rsidP="008866CB">
      <w:pPr>
        <w:pStyle w:val="Heading1"/>
      </w:pPr>
    </w:p>
    <w:p w14:paraId="303783AA" w14:textId="77777777" w:rsidR="00D206BF" w:rsidRDefault="00D206BF" w:rsidP="008866CB">
      <w:pPr>
        <w:pStyle w:val="Heading1"/>
      </w:pPr>
    </w:p>
    <w:p w14:paraId="3D191C78" w14:textId="77777777" w:rsidR="00D206BF" w:rsidRDefault="00D206BF" w:rsidP="008866CB">
      <w:pPr>
        <w:pStyle w:val="Heading1"/>
      </w:pPr>
    </w:p>
    <w:p w14:paraId="6F65F017" w14:textId="77777777" w:rsidR="00D206BF" w:rsidRDefault="00D206BF" w:rsidP="008866CB">
      <w:pPr>
        <w:pStyle w:val="Heading1"/>
      </w:pPr>
    </w:p>
    <w:p w14:paraId="25DD2C30" w14:textId="77777777" w:rsidR="00D206BF" w:rsidRDefault="00D206BF" w:rsidP="008866CB">
      <w:pPr>
        <w:pStyle w:val="Heading1"/>
      </w:pPr>
    </w:p>
    <w:p w14:paraId="4316A11D" w14:textId="77777777" w:rsidR="00D206BF" w:rsidRDefault="00D206BF" w:rsidP="008866CB">
      <w:pPr>
        <w:pStyle w:val="Heading1"/>
      </w:pPr>
    </w:p>
    <w:p w14:paraId="7BAD46F8" w14:textId="77777777" w:rsidR="00D206BF" w:rsidRDefault="00D206BF" w:rsidP="008866CB">
      <w:pPr>
        <w:pStyle w:val="Heading1"/>
      </w:pPr>
    </w:p>
    <w:p w14:paraId="30CE875B" w14:textId="77777777" w:rsidR="00D206BF" w:rsidRDefault="00D206BF" w:rsidP="008866CB">
      <w:pPr>
        <w:pStyle w:val="Heading1"/>
      </w:pPr>
    </w:p>
    <w:p w14:paraId="092451E1" w14:textId="6A06D78D" w:rsidR="00D206BF" w:rsidRDefault="00D206BF" w:rsidP="008C50F4">
      <w:pPr>
        <w:pStyle w:val="Heading1"/>
        <w:ind w:left="0"/>
      </w:pPr>
    </w:p>
    <w:p w14:paraId="23882187" w14:textId="77777777" w:rsidR="008C50F4" w:rsidRDefault="008C50F4" w:rsidP="008C50F4">
      <w:pPr>
        <w:pStyle w:val="Heading1"/>
        <w:ind w:left="0"/>
      </w:pPr>
    </w:p>
    <w:p w14:paraId="4C805801" w14:textId="77777777" w:rsidR="00D206BF" w:rsidRDefault="00D206BF" w:rsidP="008866CB">
      <w:pPr>
        <w:pStyle w:val="Heading1"/>
      </w:pPr>
    </w:p>
    <w:p w14:paraId="638A4B44" w14:textId="5165E148" w:rsidR="008866CB" w:rsidRDefault="008866CB" w:rsidP="008866CB">
      <w:pPr>
        <w:pStyle w:val="Heading1"/>
      </w:pPr>
      <w:r>
        <w:lastRenderedPageBreak/>
        <w:t>For New</w:t>
      </w:r>
      <w:r>
        <w:rPr>
          <w:spacing w:val="-1"/>
        </w:rPr>
        <w:t xml:space="preserve"> </w:t>
      </w:r>
      <w:r>
        <w:t>and</w:t>
      </w:r>
      <w:r>
        <w:rPr>
          <w:spacing w:val="5"/>
        </w:rPr>
        <w:t xml:space="preserve"> </w:t>
      </w:r>
      <w:r>
        <w:t>Renewal</w:t>
      </w:r>
      <w:r>
        <w:rPr>
          <w:spacing w:val="1"/>
        </w:rPr>
        <w:t xml:space="preserve"> </w:t>
      </w:r>
      <w:r>
        <w:t>Applications</w:t>
      </w:r>
      <w:r>
        <w:rPr>
          <w:spacing w:val="4"/>
        </w:rPr>
        <w:t xml:space="preserve"> </w:t>
      </w:r>
      <w:r>
        <w:t>(PHS</w:t>
      </w:r>
      <w:r>
        <w:rPr>
          <w:spacing w:val="-1"/>
        </w:rPr>
        <w:t xml:space="preserve"> </w:t>
      </w:r>
      <w:r>
        <w:t>398)</w:t>
      </w:r>
      <w:r>
        <w:rPr>
          <w:spacing w:val="1"/>
        </w:rPr>
        <w:t xml:space="preserve"> </w:t>
      </w:r>
      <w:r>
        <w:t>-</w:t>
      </w:r>
      <w:r>
        <w:rPr>
          <w:spacing w:val="3"/>
        </w:rPr>
        <w:t xml:space="preserve"> </w:t>
      </w:r>
      <w:r>
        <w:t>DO NOT</w:t>
      </w:r>
      <w:r>
        <w:rPr>
          <w:spacing w:val="7"/>
        </w:rPr>
        <w:t xml:space="preserve"> </w:t>
      </w:r>
      <w:r>
        <w:t>SUBMIT</w:t>
      </w:r>
      <w:r>
        <w:rPr>
          <w:spacing w:val="6"/>
        </w:rPr>
        <w:t xml:space="preserve"> </w:t>
      </w:r>
      <w:r>
        <w:t xml:space="preserve">UNLESS </w:t>
      </w:r>
      <w:r>
        <w:rPr>
          <w:spacing w:val="-2"/>
        </w:rPr>
        <w:t>REQUESTED</w:t>
      </w:r>
    </w:p>
    <w:p w14:paraId="4B76674A" w14:textId="77777777" w:rsidR="008866CB" w:rsidRDefault="008866CB" w:rsidP="008866CB">
      <w:pPr>
        <w:ind w:left="240"/>
        <w:rPr>
          <w:b/>
        </w:rPr>
      </w:pPr>
      <w:r>
        <w:rPr>
          <w:b/>
          <w:sz w:val="22"/>
        </w:rPr>
        <w:t>For</w:t>
      </w:r>
      <w:r>
        <w:rPr>
          <w:b/>
          <w:spacing w:val="-1"/>
          <w:sz w:val="22"/>
        </w:rPr>
        <w:t xml:space="preserve"> </w:t>
      </w:r>
      <w:r>
        <w:rPr>
          <w:b/>
          <w:sz w:val="22"/>
        </w:rPr>
        <w:t>Non-competing</w:t>
      </w:r>
      <w:r>
        <w:rPr>
          <w:b/>
          <w:spacing w:val="1"/>
          <w:sz w:val="22"/>
        </w:rPr>
        <w:t xml:space="preserve"> </w:t>
      </w:r>
      <w:r>
        <w:rPr>
          <w:b/>
          <w:sz w:val="22"/>
        </w:rPr>
        <w:t>Progress</w:t>
      </w:r>
      <w:r>
        <w:rPr>
          <w:b/>
          <w:spacing w:val="3"/>
          <w:sz w:val="22"/>
        </w:rPr>
        <w:t xml:space="preserve"> </w:t>
      </w:r>
      <w:r>
        <w:rPr>
          <w:b/>
          <w:sz w:val="22"/>
        </w:rPr>
        <w:t>Reports</w:t>
      </w:r>
      <w:r>
        <w:rPr>
          <w:b/>
          <w:spacing w:val="3"/>
          <w:sz w:val="22"/>
        </w:rPr>
        <w:t xml:space="preserve"> </w:t>
      </w:r>
      <w:r>
        <w:rPr>
          <w:b/>
          <w:sz w:val="22"/>
        </w:rPr>
        <w:t>(PHS</w:t>
      </w:r>
      <w:r>
        <w:rPr>
          <w:b/>
          <w:spacing w:val="-2"/>
          <w:sz w:val="22"/>
        </w:rPr>
        <w:t xml:space="preserve"> </w:t>
      </w:r>
      <w:r>
        <w:rPr>
          <w:b/>
          <w:sz w:val="22"/>
        </w:rPr>
        <w:t>2590)</w:t>
      </w:r>
      <w:r>
        <w:rPr>
          <w:b/>
          <w:spacing w:val="7"/>
          <w:sz w:val="22"/>
        </w:rPr>
        <w:t xml:space="preserve"> </w:t>
      </w:r>
      <w:r>
        <w:rPr>
          <w:b/>
          <w:sz w:val="22"/>
        </w:rPr>
        <w:t>-</w:t>
      </w:r>
      <w:r>
        <w:rPr>
          <w:b/>
          <w:spacing w:val="3"/>
          <w:sz w:val="22"/>
        </w:rPr>
        <w:t xml:space="preserve"> </w:t>
      </w:r>
      <w:r>
        <w:rPr>
          <w:b/>
          <w:sz w:val="22"/>
        </w:rPr>
        <w:t>Submit</w:t>
      </w:r>
      <w:r>
        <w:rPr>
          <w:b/>
          <w:spacing w:val="2"/>
          <w:sz w:val="22"/>
        </w:rPr>
        <w:t xml:space="preserve"> </w:t>
      </w:r>
      <w:r>
        <w:rPr>
          <w:b/>
          <w:sz w:val="22"/>
        </w:rPr>
        <w:t>only</w:t>
      </w:r>
      <w:r>
        <w:rPr>
          <w:b/>
          <w:spacing w:val="-2"/>
          <w:sz w:val="22"/>
        </w:rPr>
        <w:t xml:space="preserve"> </w:t>
      </w:r>
      <w:r>
        <w:rPr>
          <w:b/>
          <w:sz w:val="22"/>
        </w:rPr>
        <w:t>Active</w:t>
      </w:r>
      <w:r>
        <w:rPr>
          <w:b/>
          <w:spacing w:val="2"/>
          <w:sz w:val="22"/>
        </w:rPr>
        <w:t xml:space="preserve"> </w:t>
      </w:r>
      <w:r>
        <w:rPr>
          <w:b/>
          <w:sz w:val="22"/>
        </w:rPr>
        <w:t>Support</w:t>
      </w:r>
      <w:r>
        <w:rPr>
          <w:b/>
          <w:spacing w:val="2"/>
          <w:sz w:val="22"/>
        </w:rPr>
        <w:t xml:space="preserve"> </w:t>
      </w:r>
      <w:r>
        <w:rPr>
          <w:b/>
          <w:sz w:val="22"/>
        </w:rPr>
        <w:t>for</w:t>
      </w:r>
      <w:r>
        <w:rPr>
          <w:b/>
          <w:spacing w:val="1"/>
          <w:sz w:val="22"/>
        </w:rPr>
        <w:t xml:space="preserve"> </w:t>
      </w:r>
      <w:r>
        <w:rPr>
          <w:b/>
          <w:sz w:val="22"/>
        </w:rPr>
        <w:t>Key</w:t>
      </w:r>
      <w:r>
        <w:rPr>
          <w:b/>
          <w:spacing w:val="-2"/>
          <w:sz w:val="22"/>
        </w:rPr>
        <w:t xml:space="preserve"> Personnel</w:t>
      </w:r>
    </w:p>
    <w:p w14:paraId="186557D4" w14:textId="77777777" w:rsidR="008866CB" w:rsidRDefault="008866CB" w:rsidP="008866CB">
      <w:pPr>
        <w:tabs>
          <w:tab w:val="left" w:pos="4101"/>
          <w:tab w:val="left" w:pos="11154"/>
        </w:tabs>
        <w:spacing w:before="176"/>
        <w:ind w:left="115"/>
        <w:rPr>
          <w:b/>
          <w:sz w:val="20"/>
        </w:rPr>
      </w:pPr>
      <w:r>
        <w:rPr>
          <w:b/>
          <w:sz w:val="20"/>
          <w:u w:val="single"/>
        </w:rPr>
        <w:tab/>
        <w:t>PHS</w:t>
      </w:r>
      <w:r>
        <w:rPr>
          <w:b/>
          <w:spacing w:val="-3"/>
          <w:sz w:val="20"/>
          <w:u w:val="single"/>
        </w:rPr>
        <w:t xml:space="preserve"> </w:t>
      </w:r>
      <w:r>
        <w:rPr>
          <w:b/>
          <w:sz w:val="20"/>
          <w:u w:val="single"/>
        </w:rPr>
        <w:t>398/2590</w:t>
      </w:r>
      <w:r>
        <w:rPr>
          <w:b/>
          <w:spacing w:val="-5"/>
          <w:sz w:val="20"/>
          <w:u w:val="single"/>
        </w:rPr>
        <w:t xml:space="preserve"> </w:t>
      </w:r>
      <w:r>
        <w:rPr>
          <w:b/>
          <w:sz w:val="20"/>
          <w:u w:val="single"/>
        </w:rPr>
        <w:t>OTHER</w:t>
      </w:r>
      <w:r>
        <w:rPr>
          <w:b/>
          <w:spacing w:val="-3"/>
          <w:sz w:val="20"/>
          <w:u w:val="single"/>
        </w:rPr>
        <w:t xml:space="preserve"> </w:t>
      </w:r>
      <w:r>
        <w:rPr>
          <w:b/>
          <w:spacing w:val="-2"/>
          <w:sz w:val="20"/>
          <w:u w:val="single"/>
        </w:rPr>
        <w:t>SUPPORT</w:t>
      </w:r>
      <w:r>
        <w:rPr>
          <w:b/>
          <w:sz w:val="20"/>
          <w:u w:val="single"/>
        </w:rPr>
        <w:tab/>
      </w:r>
    </w:p>
    <w:p w14:paraId="02E7209C" w14:textId="77777777" w:rsidR="008866CB" w:rsidRDefault="008866CB" w:rsidP="008866CB">
      <w:pPr>
        <w:pStyle w:val="BodyText"/>
        <w:spacing w:before="11"/>
        <w:rPr>
          <w:b/>
          <w:sz w:val="8"/>
        </w:rPr>
      </w:pPr>
    </w:p>
    <w:p w14:paraId="77DAA3CF" w14:textId="77777777" w:rsidR="008866CB" w:rsidRDefault="008866CB" w:rsidP="008866CB">
      <w:pPr>
        <w:spacing w:before="96" w:line="237" w:lineRule="auto"/>
        <w:ind w:left="240"/>
        <w:rPr>
          <w:sz w:val="16"/>
        </w:rPr>
      </w:pPr>
      <w:r>
        <w:rPr>
          <w:sz w:val="16"/>
        </w:rPr>
        <w:t>Provide active support</w:t>
      </w:r>
      <w:r>
        <w:rPr>
          <w:spacing w:val="-1"/>
          <w:sz w:val="16"/>
        </w:rPr>
        <w:t xml:space="preserve"> </w:t>
      </w:r>
      <w:r>
        <w:rPr>
          <w:sz w:val="16"/>
        </w:rPr>
        <w:t xml:space="preserve">for all key personnel. </w:t>
      </w:r>
      <w:r>
        <w:rPr>
          <w:b/>
          <w:sz w:val="16"/>
        </w:rPr>
        <w:t>Other Support includes all financial</w:t>
      </w:r>
      <w:r>
        <w:rPr>
          <w:b/>
          <w:spacing w:val="-1"/>
          <w:sz w:val="16"/>
        </w:rPr>
        <w:t xml:space="preserve"> </w:t>
      </w:r>
      <w:r>
        <w:rPr>
          <w:b/>
          <w:sz w:val="16"/>
        </w:rPr>
        <w:t>resources,</w:t>
      </w:r>
      <w:r>
        <w:rPr>
          <w:b/>
          <w:spacing w:val="-1"/>
          <w:sz w:val="16"/>
        </w:rPr>
        <w:t xml:space="preserve"> </w:t>
      </w:r>
      <w:r>
        <w:rPr>
          <w:b/>
          <w:sz w:val="16"/>
        </w:rPr>
        <w:t>whether Federal,</w:t>
      </w:r>
      <w:r>
        <w:rPr>
          <w:b/>
          <w:spacing w:val="-1"/>
          <w:sz w:val="16"/>
        </w:rPr>
        <w:t xml:space="preserve"> </w:t>
      </w:r>
      <w:r>
        <w:rPr>
          <w:b/>
          <w:sz w:val="16"/>
        </w:rPr>
        <w:t xml:space="preserve">non-Federal, </w:t>
      </w:r>
      <w:proofErr w:type="gramStart"/>
      <w:r>
        <w:rPr>
          <w:b/>
          <w:sz w:val="16"/>
        </w:rPr>
        <w:t>commercial</w:t>
      </w:r>
      <w:proofErr w:type="gramEnd"/>
      <w:r>
        <w:rPr>
          <w:b/>
          <w:sz w:val="16"/>
        </w:rPr>
        <w:t xml:space="preserve"> or institutional,</w:t>
      </w:r>
      <w:r>
        <w:rPr>
          <w:b/>
          <w:spacing w:val="-2"/>
          <w:sz w:val="16"/>
        </w:rPr>
        <w:t xml:space="preserve"> </w:t>
      </w:r>
      <w:r>
        <w:rPr>
          <w:b/>
          <w:sz w:val="16"/>
        </w:rPr>
        <w:t>available</w:t>
      </w:r>
      <w:r>
        <w:rPr>
          <w:b/>
          <w:spacing w:val="-1"/>
          <w:sz w:val="16"/>
        </w:rPr>
        <w:t xml:space="preserve"> </w:t>
      </w:r>
      <w:r>
        <w:rPr>
          <w:b/>
          <w:sz w:val="16"/>
        </w:rPr>
        <w:t>in</w:t>
      </w:r>
      <w:r>
        <w:rPr>
          <w:b/>
          <w:spacing w:val="-5"/>
          <w:sz w:val="16"/>
        </w:rPr>
        <w:t xml:space="preserve"> </w:t>
      </w:r>
      <w:r>
        <w:rPr>
          <w:b/>
          <w:sz w:val="16"/>
        </w:rPr>
        <w:t>direct</w:t>
      </w:r>
      <w:r>
        <w:rPr>
          <w:b/>
          <w:spacing w:val="-5"/>
          <w:sz w:val="16"/>
        </w:rPr>
        <w:t xml:space="preserve"> </w:t>
      </w:r>
      <w:r>
        <w:rPr>
          <w:b/>
          <w:sz w:val="16"/>
        </w:rPr>
        <w:t>support</w:t>
      </w:r>
      <w:r>
        <w:rPr>
          <w:b/>
          <w:spacing w:val="-5"/>
          <w:sz w:val="16"/>
        </w:rPr>
        <w:t xml:space="preserve"> </w:t>
      </w:r>
      <w:r>
        <w:rPr>
          <w:b/>
          <w:sz w:val="16"/>
        </w:rPr>
        <w:t>of</w:t>
      </w:r>
      <w:r>
        <w:rPr>
          <w:b/>
          <w:spacing w:val="-5"/>
          <w:sz w:val="16"/>
        </w:rPr>
        <w:t xml:space="preserve"> </w:t>
      </w:r>
      <w:r>
        <w:rPr>
          <w:b/>
          <w:sz w:val="16"/>
        </w:rPr>
        <w:t>an individual's</w:t>
      </w:r>
      <w:r>
        <w:rPr>
          <w:b/>
          <w:spacing w:val="-1"/>
          <w:sz w:val="16"/>
        </w:rPr>
        <w:t xml:space="preserve"> </w:t>
      </w:r>
      <w:r>
        <w:rPr>
          <w:b/>
          <w:sz w:val="16"/>
        </w:rPr>
        <w:t>research</w:t>
      </w:r>
      <w:r>
        <w:rPr>
          <w:b/>
          <w:spacing w:val="-5"/>
          <w:sz w:val="16"/>
        </w:rPr>
        <w:t xml:space="preserve"> </w:t>
      </w:r>
      <w:r>
        <w:rPr>
          <w:b/>
          <w:sz w:val="16"/>
        </w:rPr>
        <w:t>endeavors,</w:t>
      </w:r>
      <w:r>
        <w:rPr>
          <w:b/>
          <w:spacing w:val="-2"/>
          <w:sz w:val="16"/>
        </w:rPr>
        <w:t xml:space="preserve"> </w:t>
      </w:r>
      <w:r>
        <w:rPr>
          <w:b/>
          <w:sz w:val="16"/>
        </w:rPr>
        <w:t>including but</w:t>
      </w:r>
      <w:r>
        <w:rPr>
          <w:b/>
          <w:spacing w:val="-5"/>
          <w:sz w:val="16"/>
        </w:rPr>
        <w:t xml:space="preserve"> </w:t>
      </w:r>
      <w:r>
        <w:rPr>
          <w:b/>
          <w:sz w:val="16"/>
        </w:rPr>
        <w:t>not</w:t>
      </w:r>
      <w:r>
        <w:rPr>
          <w:b/>
          <w:spacing w:val="-1"/>
          <w:sz w:val="16"/>
        </w:rPr>
        <w:t xml:space="preserve"> </w:t>
      </w:r>
      <w:r>
        <w:rPr>
          <w:b/>
          <w:sz w:val="16"/>
        </w:rPr>
        <w:t>limited to research</w:t>
      </w:r>
      <w:r>
        <w:rPr>
          <w:b/>
          <w:spacing w:val="-5"/>
          <w:sz w:val="16"/>
        </w:rPr>
        <w:t xml:space="preserve"> </w:t>
      </w:r>
      <w:r>
        <w:rPr>
          <w:b/>
          <w:sz w:val="16"/>
        </w:rPr>
        <w:t>grants,</w:t>
      </w:r>
      <w:r>
        <w:rPr>
          <w:b/>
          <w:spacing w:val="-2"/>
          <w:sz w:val="16"/>
        </w:rPr>
        <w:t xml:space="preserve"> </w:t>
      </w:r>
      <w:r>
        <w:rPr>
          <w:b/>
          <w:sz w:val="16"/>
        </w:rPr>
        <w:t xml:space="preserve">cooperative agreements, contracts, and/or institutional awards. </w:t>
      </w:r>
      <w:r>
        <w:rPr>
          <w:sz w:val="16"/>
        </w:rPr>
        <w:t>Training awards, prizes, or gifts do not need to be included.</w:t>
      </w:r>
    </w:p>
    <w:p w14:paraId="19CB43AD" w14:textId="77777777" w:rsidR="008866CB" w:rsidRDefault="008866CB" w:rsidP="008866CB">
      <w:pPr>
        <w:pStyle w:val="BodyText"/>
        <w:spacing w:before="4"/>
      </w:pPr>
    </w:p>
    <w:p w14:paraId="25EFF7A0" w14:textId="77777777" w:rsidR="008866CB" w:rsidRDefault="008866CB" w:rsidP="008866CB">
      <w:pPr>
        <w:ind w:left="240"/>
        <w:rPr>
          <w:sz w:val="16"/>
        </w:rPr>
      </w:pPr>
      <w:r>
        <w:rPr>
          <w:sz w:val="16"/>
        </w:rPr>
        <w:t>There</w:t>
      </w:r>
      <w:r>
        <w:rPr>
          <w:spacing w:val="-1"/>
          <w:sz w:val="16"/>
        </w:rPr>
        <w:t xml:space="preserve"> </w:t>
      </w:r>
      <w:r>
        <w:rPr>
          <w:sz w:val="16"/>
        </w:rPr>
        <w:t>is no "form page" for other support. Information on</w:t>
      </w:r>
      <w:r>
        <w:rPr>
          <w:spacing w:val="-1"/>
          <w:sz w:val="16"/>
        </w:rPr>
        <w:t xml:space="preserve"> </w:t>
      </w:r>
      <w:r>
        <w:rPr>
          <w:sz w:val="16"/>
        </w:rPr>
        <w:t>other support</w:t>
      </w:r>
      <w:r>
        <w:rPr>
          <w:spacing w:val="-3"/>
          <w:sz w:val="16"/>
        </w:rPr>
        <w:t xml:space="preserve"> </w:t>
      </w:r>
      <w:r>
        <w:rPr>
          <w:sz w:val="16"/>
        </w:rPr>
        <w:t>should be</w:t>
      </w:r>
      <w:r>
        <w:rPr>
          <w:spacing w:val="-1"/>
          <w:sz w:val="16"/>
        </w:rPr>
        <w:t xml:space="preserve"> </w:t>
      </w:r>
      <w:r>
        <w:rPr>
          <w:sz w:val="16"/>
        </w:rPr>
        <w:t xml:space="preserve">provided in the </w:t>
      </w:r>
      <w:r>
        <w:rPr>
          <w:i/>
          <w:sz w:val="16"/>
        </w:rPr>
        <w:t xml:space="preserve">format </w:t>
      </w:r>
      <w:r>
        <w:rPr>
          <w:sz w:val="16"/>
        </w:rPr>
        <w:t>shown</w:t>
      </w:r>
      <w:r>
        <w:rPr>
          <w:spacing w:val="-1"/>
          <w:sz w:val="16"/>
        </w:rPr>
        <w:t xml:space="preserve"> </w:t>
      </w:r>
      <w:r>
        <w:rPr>
          <w:sz w:val="16"/>
        </w:rPr>
        <w:t>below, using continuation pages</w:t>
      </w:r>
      <w:r>
        <w:rPr>
          <w:spacing w:val="-3"/>
          <w:sz w:val="16"/>
        </w:rPr>
        <w:t xml:space="preserve"> </w:t>
      </w:r>
      <w:r>
        <w:rPr>
          <w:sz w:val="16"/>
        </w:rPr>
        <w:t>as necessary.</w:t>
      </w:r>
      <w:r>
        <w:rPr>
          <w:spacing w:val="-1"/>
          <w:sz w:val="16"/>
        </w:rPr>
        <w:t xml:space="preserve"> </w:t>
      </w:r>
      <w:r>
        <w:rPr>
          <w:b/>
          <w:i/>
          <w:sz w:val="16"/>
        </w:rPr>
        <w:t>Include</w:t>
      </w:r>
      <w:r>
        <w:rPr>
          <w:b/>
          <w:i/>
          <w:spacing w:val="-6"/>
          <w:sz w:val="16"/>
        </w:rPr>
        <w:t xml:space="preserve"> </w:t>
      </w:r>
      <w:r>
        <w:rPr>
          <w:b/>
          <w:i/>
          <w:sz w:val="16"/>
        </w:rPr>
        <w:t>the</w:t>
      </w:r>
      <w:r>
        <w:rPr>
          <w:b/>
          <w:i/>
          <w:spacing w:val="-6"/>
          <w:sz w:val="16"/>
        </w:rPr>
        <w:t xml:space="preserve"> </w:t>
      </w:r>
      <w:r>
        <w:rPr>
          <w:b/>
          <w:i/>
          <w:sz w:val="16"/>
        </w:rPr>
        <w:t>principal</w:t>
      </w:r>
      <w:r>
        <w:rPr>
          <w:b/>
          <w:i/>
          <w:spacing w:val="-2"/>
          <w:sz w:val="16"/>
        </w:rPr>
        <w:t xml:space="preserve"> </w:t>
      </w:r>
      <w:r>
        <w:rPr>
          <w:b/>
          <w:i/>
          <w:sz w:val="16"/>
        </w:rPr>
        <w:t>investigator's</w:t>
      </w:r>
      <w:r>
        <w:rPr>
          <w:b/>
          <w:i/>
          <w:spacing w:val="-1"/>
          <w:sz w:val="16"/>
        </w:rPr>
        <w:t xml:space="preserve"> </w:t>
      </w:r>
      <w:r>
        <w:rPr>
          <w:b/>
          <w:i/>
          <w:sz w:val="16"/>
        </w:rPr>
        <w:t>name</w:t>
      </w:r>
      <w:r>
        <w:rPr>
          <w:b/>
          <w:i/>
          <w:spacing w:val="-1"/>
          <w:sz w:val="16"/>
        </w:rPr>
        <w:t xml:space="preserve"> </w:t>
      </w:r>
      <w:r>
        <w:rPr>
          <w:b/>
          <w:i/>
          <w:sz w:val="16"/>
        </w:rPr>
        <w:t>at</w:t>
      </w:r>
      <w:r>
        <w:rPr>
          <w:b/>
          <w:i/>
          <w:spacing w:val="-1"/>
          <w:sz w:val="16"/>
        </w:rPr>
        <w:t xml:space="preserve"> </w:t>
      </w:r>
      <w:r>
        <w:rPr>
          <w:b/>
          <w:i/>
          <w:sz w:val="16"/>
        </w:rPr>
        <w:t>the</w:t>
      </w:r>
      <w:r>
        <w:rPr>
          <w:b/>
          <w:i/>
          <w:spacing w:val="-1"/>
          <w:sz w:val="16"/>
        </w:rPr>
        <w:t xml:space="preserve"> </w:t>
      </w:r>
      <w:r>
        <w:rPr>
          <w:b/>
          <w:i/>
          <w:sz w:val="16"/>
        </w:rPr>
        <w:t>top and</w:t>
      </w:r>
      <w:r>
        <w:rPr>
          <w:b/>
          <w:i/>
          <w:spacing w:val="-10"/>
          <w:sz w:val="16"/>
        </w:rPr>
        <w:t xml:space="preserve"> </w:t>
      </w:r>
      <w:r>
        <w:rPr>
          <w:b/>
          <w:i/>
          <w:sz w:val="16"/>
        </w:rPr>
        <w:t>number</w:t>
      </w:r>
      <w:r>
        <w:rPr>
          <w:b/>
          <w:i/>
          <w:spacing w:val="-4"/>
          <w:sz w:val="16"/>
        </w:rPr>
        <w:t xml:space="preserve"> </w:t>
      </w:r>
      <w:r>
        <w:rPr>
          <w:b/>
          <w:i/>
          <w:sz w:val="16"/>
        </w:rPr>
        <w:t>consecutively</w:t>
      </w:r>
      <w:r>
        <w:rPr>
          <w:b/>
          <w:i/>
          <w:spacing w:val="-1"/>
          <w:sz w:val="16"/>
        </w:rPr>
        <w:t xml:space="preserve"> </w:t>
      </w:r>
      <w:r>
        <w:rPr>
          <w:b/>
          <w:i/>
          <w:sz w:val="16"/>
        </w:rPr>
        <w:t>with</w:t>
      </w:r>
      <w:r>
        <w:rPr>
          <w:b/>
          <w:i/>
          <w:spacing w:val="-5"/>
          <w:sz w:val="16"/>
        </w:rPr>
        <w:t xml:space="preserve"> </w:t>
      </w:r>
      <w:r>
        <w:rPr>
          <w:b/>
          <w:i/>
          <w:sz w:val="16"/>
        </w:rPr>
        <w:t>the</w:t>
      </w:r>
      <w:r>
        <w:rPr>
          <w:b/>
          <w:i/>
          <w:spacing w:val="-1"/>
          <w:sz w:val="16"/>
        </w:rPr>
        <w:t xml:space="preserve"> </w:t>
      </w:r>
      <w:r>
        <w:rPr>
          <w:b/>
          <w:i/>
          <w:sz w:val="16"/>
        </w:rPr>
        <w:t>rest</w:t>
      </w:r>
      <w:r>
        <w:rPr>
          <w:b/>
          <w:i/>
          <w:spacing w:val="-1"/>
          <w:sz w:val="16"/>
        </w:rPr>
        <w:t xml:space="preserve"> </w:t>
      </w:r>
      <w:r>
        <w:rPr>
          <w:b/>
          <w:i/>
          <w:sz w:val="16"/>
        </w:rPr>
        <w:t>of</w:t>
      </w:r>
      <w:r>
        <w:rPr>
          <w:b/>
          <w:i/>
          <w:spacing w:val="-1"/>
          <w:sz w:val="16"/>
        </w:rPr>
        <w:t xml:space="preserve"> </w:t>
      </w:r>
      <w:r>
        <w:rPr>
          <w:b/>
          <w:i/>
          <w:sz w:val="16"/>
        </w:rPr>
        <w:t>the</w:t>
      </w:r>
      <w:r>
        <w:rPr>
          <w:b/>
          <w:i/>
          <w:spacing w:val="-1"/>
          <w:sz w:val="16"/>
        </w:rPr>
        <w:t xml:space="preserve"> </w:t>
      </w:r>
      <w:r>
        <w:rPr>
          <w:b/>
          <w:i/>
          <w:sz w:val="16"/>
        </w:rPr>
        <w:t xml:space="preserve">application. </w:t>
      </w:r>
      <w:r>
        <w:rPr>
          <w:sz w:val="16"/>
        </w:rPr>
        <w:t>The</w:t>
      </w:r>
      <w:r>
        <w:rPr>
          <w:spacing w:val="-1"/>
          <w:sz w:val="16"/>
        </w:rPr>
        <w:t xml:space="preserve"> </w:t>
      </w:r>
      <w:r>
        <w:rPr>
          <w:sz w:val="16"/>
        </w:rPr>
        <w:t>sample</w:t>
      </w:r>
      <w:r>
        <w:rPr>
          <w:spacing w:val="-1"/>
          <w:sz w:val="16"/>
        </w:rPr>
        <w:t xml:space="preserve"> </w:t>
      </w:r>
      <w:r>
        <w:rPr>
          <w:sz w:val="16"/>
        </w:rPr>
        <w:t>below</w:t>
      </w:r>
      <w:r>
        <w:rPr>
          <w:spacing w:val="-3"/>
          <w:sz w:val="16"/>
        </w:rPr>
        <w:t xml:space="preserve"> </w:t>
      </w:r>
      <w:r>
        <w:rPr>
          <w:sz w:val="16"/>
        </w:rPr>
        <w:t>is intended to provide guidance regarding the type and extent of information requested.</w:t>
      </w:r>
    </w:p>
    <w:p w14:paraId="01FB7C50" w14:textId="77777777" w:rsidR="008866CB" w:rsidRDefault="008866CB" w:rsidP="008866CB">
      <w:pPr>
        <w:pStyle w:val="BodyText"/>
        <w:ind w:left="240"/>
      </w:pPr>
      <w:r>
        <w:t>For instructions</w:t>
      </w:r>
      <w:r>
        <w:rPr>
          <w:spacing w:val="-7"/>
        </w:rPr>
        <w:t xml:space="preserve"> </w:t>
      </w:r>
      <w:r>
        <w:t>and information</w:t>
      </w:r>
      <w:r>
        <w:rPr>
          <w:spacing w:val="-1"/>
        </w:rPr>
        <w:t xml:space="preserve"> </w:t>
      </w:r>
      <w:r>
        <w:t>pertaining</w:t>
      </w:r>
      <w:r>
        <w:rPr>
          <w:spacing w:val="-6"/>
        </w:rPr>
        <w:t xml:space="preserve"> </w:t>
      </w:r>
      <w:r>
        <w:t>to</w:t>
      </w:r>
      <w:r>
        <w:rPr>
          <w:spacing w:val="-1"/>
        </w:rPr>
        <w:t xml:space="preserve"> </w:t>
      </w:r>
      <w:r>
        <w:t>the</w:t>
      </w:r>
      <w:r>
        <w:rPr>
          <w:spacing w:val="-6"/>
        </w:rPr>
        <w:t xml:space="preserve"> </w:t>
      </w:r>
      <w:r>
        <w:t>use</w:t>
      </w:r>
      <w:r>
        <w:rPr>
          <w:spacing w:val="-1"/>
        </w:rPr>
        <w:t xml:space="preserve"> </w:t>
      </w:r>
      <w:r>
        <w:t>of</w:t>
      </w:r>
      <w:r>
        <w:rPr>
          <w:spacing w:val="-7"/>
        </w:rPr>
        <w:t xml:space="preserve"> </w:t>
      </w:r>
      <w:r>
        <w:t>and</w:t>
      </w:r>
      <w:r>
        <w:rPr>
          <w:spacing w:val="-1"/>
        </w:rPr>
        <w:t xml:space="preserve"> </w:t>
      </w:r>
      <w:r>
        <w:t>policy</w:t>
      </w:r>
      <w:r>
        <w:rPr>
          <w:spacing w:val="-2"/>
        </w:rPr>
        <w:t xml:space="preserve"> </w:t>
      </w:r>
      <w:r>
        <w:t>for</w:t>
      </w:r>
      <w:r>
        <w:rPr>
          <w:spacing w:val="-1"/>
        </w:rPr>
        <w:t xml:space="preserve"> </w:t>
      </w:r>
      <w:r>
        <w:t>other</w:t>
      </w:r>
      <w:r>
        <w:rPr>
          <w:spacing w:val="-1"/>
        </w:rPr>
        <w:t xml:space="preserve"> </w:t>
      </w:r>
      <w:r>
        <w:t>support,</w:t>
      </w:r>
      <w:r>
        <w:rPr>
          <w:spacing w:val="-2"/>
        </w:rPr>
        <w:t xml:space="preserve"> </w:t>
      </w:r>
      <w:r>
        <w:t>see Other</w:t>
      </w:r>
      <w:r>
        <w:rPr>
          <w:spacing w:val="-1"/>
        </w:rPr>
        <w:t xml:space="preserve"> </w:t>
      </w:r>
      <w:r>
        <w:t>Support</w:t>
      </w:r>
      <w:r>
        <w:rPr>
          <w:spacing w:val="-2"/>
        </w:rPr>
        <w:t xml:space="preserve"> </w:t>
      </w:r>
      <w:r>
        <w:t>in</w:t>
      </w:r>
      <w:r>
        <w:rPr>
          <w:spacing w:val="-1"/>
        </w:rPr>
        <w:t xml:space="preserve"> </w:t>
      </w:r>
      <w:r>
        <w:t>the</w:t>
      </w:r>
      <w:r>
        <w:rPr>
          <w:spacing w:val="-1"/>
        </w:rPr>
        <w:t xml:space="preserve"> </w:t>
      </w:r>
      <w:r>
        <w:t>PHS</w:t>
      </w:r>
      <w:r>
        <w:rPr>
          <w:spacing w:val="-4"/>
        </w:rPr>
        <w:t xml:space="preserve"> </w:t>
      </w:r>
      <w:r>
        <w:t>398</w:t>
      </w:r>
      <w:r>
        <w:rPr>
          <w:spacing w:val="-1"/>
        </w:rPr>
        <w:t xml:space="preserve"> </w:t>
      </w:r>
      <w:r>
        <w:t>Part</w:t>
      </w:r>
      <w:r>
        <w:rPr>
          <w:spacing w:val="-2"/>
        </w:rPr>
        <w:t xml:space="preserve"> </w:t>
      </w:r>
      <w:r>
        <w:t>III,</w:t>
      </w:r>
      <w:r>
        <w:rPr>
          <w:spacing w:val="-2"/>
        </w:rPr>
        <w:t xml:space="preserve"> </w:t>
      </w:r>
      <w:r>
        <w:t>Policies,</w:t>
      </w:r>
      <w:r>
        <w:rPr>
          <w:spacing w:val="-2"/>
        </w:rPr>
        <w:t xml:space="preserve"> </w:t>
      </w:r>
      <w:r>
        <w:t>Assurances, Definitions, and Other Information.</w:t>
      </w:r>
    </w:p>
    <w:p w14:paraId="27DCAB9B" w14:textId="77777777" w:rsidR="008866CB" w:rsidRDefault="008866CB" w:rsidP="008866CB">
      <w:pPr>
        <w:pStyle w:val="BodyText"/>
        <w:ind w:left="240"/>
      </w:pPr>
      <w:r>
        <w:t>Note</w:t>
      </w:r>
      <w:r>
        <w:rPr>
          <w:spacing w:val="-1"/>
        </w:rPr>
        <w:t xml:space="preserve"> </w:t>
      </w:r>
      <w:r>
        <w:t>effort</w:t>
      </w:r>
      <w:r>
        <w:rPr>
          <w:spacing w:val="-2"/>
        </w:rPr>
        <w:t xml:space="preserve"> </w:t>
      </w:r>
      <w:r>
        <w:t>devoted</w:t>
      </w:r>
      <w:r>
        <w:rPr>
          <w:spacing w:val="-1"/>
        </w:rPr>
        <w:t xml:space="preserve"> </w:t>
      </w:r>
      <w:r>
        <w:t>to</w:t>
      </w:r>
      <w:r>
        <w:rPr>
          <w:spacing w:val="-5"/>
        </w:rPr>
        <w:t xml:space="preserve"> </w:t>
      </w:r>
      <w:r>
        <w:t>projects</w:t>
      </w:r>
      <w:r>
        <w:rPr>
          <w:spacing w:val="-6"/>
        </w:rPr>
        <w:t xml:space="preserve"> </w:t>
      </w:r>
      <w:r>
        <w:t>must</w:t>
      </w:r>
      <w:r>
        <w:rPr>
          <w:spacing w:val="-2"/>
        </w:rPr>
        <w:t xml:space="preserve"> </w:t>
      </w:r>
      <w:r>
        <w:t>now</w:t>
      </w:r>
      <w:r>
        <w:rPr>
          <w:spacing w:val="-3"/>
        </w:rPr>
        <w:t xml:space="preserve"> </w:t>
      </w:r>
      <w:r>
        <w:t>be</w:t>
      </w:r>
      <w:r>
        <w:rPr>
          <w:spacing w:val="-1"/>
        </w:rPr>
        <w:t xml:space="preserve"> </w:t>
      </w:r>
      <w:r>
        <w:t>measured</w:t>
      </w:r>
      <w:r>
        <w:rPr>
          <w:spacing w:val="-1"/>
        </w:rPr>
        <w:t xml:space="preserve"> </w:t>
      </w:r>
      <w:r>
        <w:t>using</w:t>
      </w:r>
      <w:r>
        <w:rPr>
          <w:spacing w:val="-5"/>
        </w:rPr>
        <w:t xml:space="preserve"> </w:t>
      </w:r>
      <w:r>
        <w:t>person months.</w:t>
      </w:r>
      <w:r>
        <w:rPr>
          <w:spacing w:val="40"/>
        </w:rPr>
        <w:t xml:space="preserve"> </w:t>
      </w:r>
      <w:r>
        <w:t>Indicate</w:t>
      </w:r>
      <w:r>
        <w:rPr>
          <w:spacing w:val="-1"/>
        </w:rPr>
        <w:t xml:space="preserve"> </w:t>
      </w:r>
      <w:r>
        <w:t>calendar,</w:t>
      </w:r>
      <w:r>
        <w:rPr>
          <w:spacing w:val="-6"/>
        </w:rPr>
        <w:t xml:space="preserve"> </w:t>
      </w:r>
      <w:r>
        <w:t>academic,</w:t>
      </w:r>
      <w:r>
        <w:rPr>
          <w:spacing w:val="-6"/>
        </w:rPr>
        <w:t xml:space="preserve"> </w:t>
      </w:r>
      <w:r>
        <w:t>and/or</w:t>
      </w:r>
      <w:r>
        <w:rPr>
          <w:spacing w:val="-1"/>
        </w:rPr>
        <w:t xml:space="preserve"> </w:t>
      </w:r>
      <w:r>
        <w:t>summer</w:t>
      </w:r>
      <w:r>
        <w:rPr>
          <w:spacing w:val="-5"/>
        </w:rPr>
        <w:t xml:space="preserve"> </w:t>
      </w:r>
      <w:r>
        <w:t>months</w:t>
      </w:r>
      <w:r>
        <w:rPr>
          <w:spacing w:val="-2"/>
        </w:rPr>
        <w:t xml:space="preserve"> </w:t>
      </w:r>
      <w:r>
        <w:t>associated</w:t>
      </w:r>
      <w:r>
        <w:rPr>
          <w:spacing w:val="-5"/>
        </w:rPr>
        <w:t xml:space="preserve"> </w:t>
      </w:r>
      <w:r>
        <w:t>with</w:t>
      </w:r>
      <w:r>
        <w:rPr>
          <w:spacing w:val="-1"/>
        </w:rPr>
        <w:t xml:space="preserve"> </w:t>
      </w:r>
      <w:r>
        <w:t xml:space="preserve">each </w:t>
      </w:r>
      <w:r>
        <w:rPr>
          <w:spacing w:val="-2"/>
        </w:rPr>
        <w:t>project.</w:t>
      </w:r>
    </w:p>
    <w:p w14:paraId="57B02909" w14:textId="77777777" w:rsidR="008866CB" w:rsidRDefault="008866CB" w:rsidP="008866CB">
      <w:pPr>
        <w:pStyle w:val="BodyText"/>
        <w:spacing w:before="11"/>
        <w:rPr>
          <w:sz w:val="25"/>
        </w:rPr>
      </w:pPr>
      <w:r>
        <w:rPr>
          <w:noProof/>
        </w:rPr>
        <mc:AlternateContent>
          <mc:Choice Requires="wps">
            <w:drawing>
              <wp:anchor distT="0" distB="0" distL="0" distR="0" simplePos="0" relativeHeight="251659264" behindDoc="1" locked="0" layoutInCell="1" allowOverlap="1" wp14:anchorId="38862572" wp14:editId="0D574EF3">
                <wp:simplePos x="0" y="0"/>
                <wp:positionH relativeFrom="page">
                  <wp:posOffset>387350</wp:posOffset>
                </wp:positionH>
                <wp:positionV relativeFrom="paragraph">
                  <wp:posOffset>205105</wp:posOffset>
                </wp:positionV>
                <wp:extent cx="7000240" cy="9525"/>
                <wp:effectExtent l="0" t="0" r="381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24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715A8" id="Rectangle 1" o:spid="_x0000_s1026" style="position:absolute;margin-left:30.5pt;margin-top:16.15pt;width:551.2pt;height:.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" fillcolor="black" stroked="f">
                <w10:wrap type="topAndBottom" anchorx="page"/>
              </v:rect>
            </w:pict>
          </mc:Fallback>
        </mc:AlternateContent>
      </w:r>
    </w:p>
    <w:p w14:paraId="1C2312F1" w14:textId="77777777" w:rsidR="008866CB" w:rsidRDefault="008866CB" w:rsidP="008866CB">
      <w:pPr>
        <w:pStyle w:val="Heading1"/>
        <w:spacing w:before="3"/>
      </w:pPr>
      <w:r>
        <w:t>NANIVADEKAR,</w:t>
      </w:r>
      <w:r>
        <w:rPr>
          <w:spacing w:val="-11"/>
        </w:rPr>
        <w:t xml:space="preserve"> </w:t>
      </w:r>
      <w:r>
        <w:rPr>
          <w:spacing w:val="-5"/>
        </w:rPr>
        <w:t>S.</w:t>
      </w:r>
    </w:p>
    <w:p w14:paraId="089A64C5" w14:textId="77777777" w:rsidR="008866CB" w:rsidRDefault="008866CB" w:rsidP="008866CB">
      <w:pPr>
        <w:pStyle w:val="BodyText"/>
        <w:spacing w:before="11"/>
        <w:rPr>
          <w:b/>
          <w:sz w:val="21"/>
        </w:rPr>
      </w:pPr>
    </w:p>
    <w:p w14:paraId="26189C68" w14:textId="77777777" w:rsidR="008866CB" w:rsidRDefault="008866CB" w:rsidP="008866CB">
      <w:pPr>
        <w:ind w:left="240"/>
      </w:pPr>
      <w:r>
        <w:rPr>
          <w:spacing w:val="-2"/>
          <w:sz w:val="22"/>
          <w:u w:val="single"/>
        </w:rPr>
        <w:t>PENDING</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86"/>
        <w:gridCol w:w="2611"/>
        <w:gridCol w:w="743"/>
      </w:tblGrid>
      <w:tr w:rsidR="008866CB" w14:paraId="5D985873" w14:textId="77777777" w:rsidTr="002A3823">
        <w:trPr>
          <w:trHeight w:val="3035"/>
        </w:trPr>
        <w:tc>
          <w:tcPr>
            <w:tcW w:w="7686" w:type="dxa"/>
            <w:tcBorders>
              <w:left w:val="nil"/>
            </w:tcBorders>
          </w:tcPr>
          <w:p w14:paraId="1934F629" w14:textId="77777777" w:rsidR="008866CB" w:rsidRDefault="008866CB" w:rsidP="002A3823">
            <w:pPr>
              <w:pStyle w:val="TableParagraph"/>
              <w:spacing w:before="5" w:line="237" w:lineRule="auto"/>
              <w:ind w:left="117" w:right="3262"/>
            </w:pPr>
            <w:r>
              <w:t>F31</w:t>
            </w:r>
            <w:r>
              <w:rPr>
                <w:spacing w:val="-12"/>
              </w:rPr>
              <w:t xml:space="preserve"> </w:t>
            </w:r>
            <w:r>
              <w:t>NS127483-01</w:t>
            </w:r>
            <w:r>
              <w:rPr>
                <w:spacing w:val="-16"/>
              </w:rPr>
              <w:t xml:space="preserve"> </w:t>
            </w:r>
            <w:r>
              <w:t>(</w:t>
            </w:r>
            <w:proofErr w:type="spellStart"/>
            <w:r>
              <w:t>Nanivadekar</w:t>
            </w:r>
            <w:proofErr w:type="spellEnd"/>
            <w:r>
              <w:t xml:space="preserve">) </w:t>
            </w:r>
            <w:r>
              <w:rPr>
                <w:spacing w:val="-2"/>
              </w:rPr>
              <w:t>NIH/NINDS</w:t>
            </w:r>
          </w:p>
          <w:p w14:paraId="1FD43519" w14:textId="77777777" w:rsidR="008866CB" w:rsidRDefault="008866CB" w:rsidP="002A3823">
            <w:pPr>
              <w:pStyle w:val="TableParagraph"/>
            </w:pPr>
          </w:p>
          <w:p w14:paraId="2B05CE62" w14:textId="77777777" w:rsidR="008866CB" w:rsidRDefault="008866CB" w:rsidP="002A3823">
            <w:pPr>
              <w:pStyle w:val="TableParagraph"/>
              <w:spacing w:line="242" w:lineRule="auto"/>
              <w:ind w:left="117" w:right="110"/>
            </w:pPr>
            <w:r>
              <w:t>Cell-type</w:t>
            </w:r>
            <w:r>
              <w:rPr>
                <w:spacing w:val="-1"/>
              </w:rPr>
              <w:t xml:space="preserve"> </w:t>
            </w:r>
            <w:r>
              <w:t>Specific</w:t>
            </w:r>
            <w:r>
              <w:rPr>
                <w:spacing w:val="-4"/>
              </w:rPr>
              <w:t xml:space="preserve"> </w:t>
            </w:r>
            <w:r>
              <w:t>Neuromodulation</w:t>
            </w:r>
            <w:r>
              <w:rPr>
                <w:spacing w:val="-1"/>
              </w:rPr>
              <w:t xml:space="preserve"> </w:t>
            </w:r>
            <w:r>
              <w:t>Using</w:t>
            </w:r>
            <w:r>
              <w:rPr>
                <w:spacing w:val="-6"/>
              </w:rPr>
              <w:t xml:space="preserve"> </w:t>
            </w:r>
            <w:r>
              <w:t>Burst</w:t>
            </w:r>
            <w:r>
              <w:rPr>
                <w:spacing w:val="-5"/>
              </w:rPr>
              <w:t xml:space="preserve"> </w:t>
            </w:r>
            <w:r>
              <w:t>DBS</w:t>
            </w:r>
            <w:r>
              <w:rPr>
                <w:spacing w:val="-5"/>
              </w:rPr>
              <w:t xml:space="preserve"> </w:t>
            </w:r>
            <w:r>
              <w:t>Produces</w:t>
            </w:r>
            <w:r>
              <w:rPr>
                <w:spacing w:val="-4"/>
              </w:rPr>
              <w:t xml:space="preserve"> </w:t>
            </w:r>
            <w:r>
              <w:t>Long-lasting Behavioral and Physiological Rescue in a Parkinsonian Mouse Model</w:t>
            </w:r>
          </w:p>
          <w:p w14:paraId="18CB5853" w14:textId="77777777" w:rsidR="008866CB" w:rsidRDefault="008866CB" w:rsidP="002A3823">
            <w:pPr>
              <w:pStyle w:val="TableParagraph"/>
              <w:spacing w:before="7"/>
              <w:rPr>
                <w:sz w:val="21"/>
              </w:rPr>
            </w:pPr>
          </w:p>
          <w:p w14:paraId="4C083002" w14:textId="77777777" w:rsidR="008866CB" w:rsidRDefault="008866CB" w:rsidP="002A3823">
            <w:pPr>
              <w:pStyle w:val="TableParagraph"/>
              <w:ind w:left="117" w:right="110"/>
            </w:pPr>
            <w:r>
              <w:t>The major goals of this project are to test how delivering</w:t>
            </w:r>
            <w:r>
              <w:rPr>
                <w:spacing w:val="-1"/>
              </w:rPr>
              <w:t xml:space="preserve"> </w:t>
            </w:r>
            <w:r>
              <w:t>burst DBS instead of</w:t>
            </w:r>
            <w:r>
              <w:rPr>
                <w:spacing w:val="-5"/>
              </w:rPr>
              <w:t xml:space="preserve"> </w:t>
            </w:r>
            <w:r>
              <w:t>continuous</w:t>
            </w:r>
            <w:r>
              <w:rPr>
                <w:spacing w:val="-9"/>
              </w:rPr>
              <w:t xml:space="preserve"> </w:t>
            </w:r>
            <w:r>
              <w:t>electrical</w:t>
            </w:r>
            <w:r>
              <w:rPr>
                <w:spacing w:val="-3"/>
              </w:rPr>
              <w:t xml:space="preserve"> </w:t>
            </w:r>
            <w:r>
              <w:t>stimulation</w:t>
            </w:r>
            <w:r>
              <w:rPr>
                <w:spacing w:val="-1"/>
              </w:rPr>
              <w:t xml:space="preserve"> </w:t>
            </w:r>
            <w:r>
              <w:t>can</w:t>
            </w:r>
            <w:r>
              <w:rPr>
                <w:spacing w:val="-1"/>
              </w:rPr>
              <w:t xml:space="preserve"> </w:t>
            </w:r>
            <w:r>
              <w:t>produce</w:t>
            </w:r>
            <w:r>
              <w:rPr>
                <w:spacing w:val="-1"/>
              </w:rPr>
              <w:t xml:space="preserve"> </w:t>
            </w:r>
            <w:r>
              <w:t>long-lasting</w:t>
            </w:r>
            <w:r>
              <w:rPr>
                <w:spacing w:val="-6"/>
              </w:rPr>
              <w:t xml:space="preserve"> </w:t>
            </w:r>
            <w:r>
              <w:t>motor</w:t>
            </w:r>
            <w:r>
              <w:rPr>
                <w:spacing w:val="-7"/>
              </w:rPr>
              <w:t xml:space="preserve"> </w:t>
            </w:r>
            <w:r>
              <w:t>recovery in parkinsonian mice by probing the behavioral effects, and the electrophysiological effects on the pathological synchrony in the basal ganglia nuclei, at various disease stages.</w:t>
            </w:r>
          </w:p>
        </w:tc>
        <w:tc>
          <w:tcPr>
            <w:tcW w:w="2611" w:type="dxa"/>
          </w:tcPr>
          <w:p w14:paraId="71269DFB" w14:textId="77777777" w:rsidR="008866CB" w:rsidRDefault="008866CB" w:rsidP="002A3823">
            <w:pPr>
              <w:pStyle w:val="TableParagraph"/>
              <w:spacing w:before="3" w:line="252" w:lineRule="exact"/>
              <w:ind w:left="104"/>
            </w:pPr>
            <w:r>
              <w:t>4/1/2022 -</w:t>
            </w:r>
            <w:r>
              <w:rPr>
                <w:spacing w:val="-1"/>
              </w:rPr>
              <w:t xml:space="preserve"> </w:t>
            </w:r>
            <w:r>
              <w:rPr>
                <w:spacing w:val="-2"/>
              </w:rPr>
              <w:t>3/31/2025</w:t>
            </w:r>
          </w:p>
          <w:p w14:paraId="71879D8B" w14:textId="77777777" w:rsidR="008866CB" w:rsidRDefault="008866CB" w:rsidP="002A3823">
            <w:pPr>
              <w:pStyle w:val="TableParagraph"/>
              <w:spacing w:line="252" w:lineRule="exact"/>
              <w:ind w:left="104"/>
            </w:pPr>
            <w:r>
              <w:rPr>
                <w:spacing w:val="-2"/>
              </w:rPr>
              <w:t>(proposed)</w:t>
            </w:r>
          </w:p>
        </w:tc>
        <w:tc>
          <w:tcPr>
            <w:tcW w:w="743" w:type="dxa"/>
            <w:tcBorders>
              <w:right w:val="nil"/>
            </w:tcBorders>
          </w:tcPr>
          <w:p w14:paraId="7AB3C4F8" w14:textId="77777777" w:rsidR="008866CB" w:rsidRDefault="008866CB" w:rsidP="002A3823">
            <w:pPr>
              <w:pStyle w:val="TableParagraph"/>
              <w:rPr>
                <w:rFonts w:ascii="Times New Roman"/>
                <w:sz w:val="18"/>
              </w:rPr>
            </w:pPr>
          </w:p>
        </w:tc>
      </w:tr>
    </w:tbl>
    <w:p w14:paraId="33ABDEAC" w14:textId="77777777" w:rsidR="008866CB" w:rsidRDefault="008866CB" w:rsidP="008866CB"/>
    <w:sectPr w:rsidR="008866CB" w:rsidSect="009F6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68C"/>
    <w:multiLevelType w:val="hybridMultilevel"/>
    <w:tmpl w:val="5B1EF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33DF"/>
    <w:multiLevelType w:val="hybridMultilevel"/>
    <w:tmpl w:val="46D6F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F4756"/>
    <w:multiLevelType w:val="hybridMultilevel"/>
    <w:tmpl w:val="33B4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76A64"/>
    <w:multiLevelType w:val="hybridMultilevel"/>
    <w:tmpl w:val="9B6AD5CA"/>
    <w:lvl w:ilvl="0" w:tplc="C308B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D151ED"/>
    <w:multiLevelType w:val="hybridMultilevel"/>
    <w:tmpl w:val="52586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E3CF3"/>
    <w:multiLevelType w:val="hybridMultilevel"/>
    <w:tmpl w:val="FD5C7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BE85534"/>
    <w:multiLevelType w:val="hybridMultilevel"/>
    <w:tmpl w:val="FCAA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570128">
    <w:abstractNumId w:val="4"/>
  </w:num>
  <w:num w:numId="2" w16cid:durableId="1968312874">
    <w:abstractNumId w:val="6"/>
  </w:num>
  <w:num w:numId="3" w16cid:durableId="658967578">
    <w:abstractNumId w:val="3"/>
  </w:num>
  <w:num w:numId="4" w16cid:durableId="1660575290">
    <w:abstractNumId w:val="2"/>
  </w:num>
  <w:num w:numId="5" w16cid:durableId="61294670">
    <w:abstractNumId w:val="1"/>
  </w:num>
  <w:num w:numId="6" w16cid:durableId="1269502299">
    <w:abstractNumId w:val="0"/>
  </w:num>
  <w:num w:numId="7" w16cid:durableId="980115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12"/>
    <w:rsid w:val="000059A6"/>
    <w:rsid w:val="0001096C"/>
    <w:rsid w:val="00014C72"/>
    <w:rsid w:val="0002189A"/>
    <w:rsid w:val="000238B1"/>
    <w:rsid w:val="000313A1"/>
    <w:rsid w:val="000314BE"/>
    <w:rsid w:val="00033FE1"/>
    <w:rsid w:val="00041036"/>
    <w:rsid w:val="000439FA"/>
    <w:rsid w:val="00045009"/>
    <w:rsid w:val="00045EBB"/>
    <w:rsid w:val="000530FE"/>
    <w:rsid w:val="00053A9C"/>
    <w:rsid w:val="00056144"/>
    <w:rsid w:val="00056E74"/>
    <w:rsid w:val="000671D8"/>
    <w:rsid w:val="0007212A"/>
    <w:rsid w:val="00073843"/>
    <w:rsid w:val="0007452C"/>
    <w:rsid w:val="0008146D"/>
    <w:rsid w:val="00092F6B"/>
    <w:rsid w:val="000A1DA1"/>
    <w:rsid w:val="000A65B2"/>
    <w:rsid w:val="000A77C4"/>
    <w:rsid w:val="000C0B0A"/>
    <w:rsid w:val="000C2DC5"/>
    <w:rsid w:val="000C35A4"/>
    <w:rsid w:val="000C41A4"/>
    <w:rsid w:val="000D2B1D"/>
    <w:rsid w:val="000D44FF"/>
    <w:rsid w:val="000D7E34"/>
    <w:rsid w:val="000E1A91"/>
    <w:rsid w:val="000F6CCC"/>
    <w:rsid w:val="000F6E89"/>
    <w:rsid w:val="00101C23"/>
    <w:rsid w:val="001219FF"/>
    <w:rsid w:val="001354AF"/>
    <w:rsid w:val="0014154B"/>
    <w:rsid w:val="001415BE"/>
    <w:rsid w:val="001431BE"/>
    <w:rsid w:val="00146AC1"/>
    <w:rsid w:val="00150CD5"/>
    <w:rsid w:val="00156E14"/>
    <w:rsid w:val="00160446"/>
    <w:rsid w:val="00170984"/>
    <w:rsid w:val="00171916"/>
    <w:rsid w:val="00174B22"/>
    <w:rsid w:val="001874B4"/>
    <w:rsid w:val="001875F2"/>
    <w:rsid w:val="00190151"/>
    <w:rsid w:val="00191498"/>
    <w:rsid w:val="00191AB7"/>
    <w:rsid w:val="001A1C43"/>
    <w:rsid w:val="001A52F5"/>
    <w:rsid w:val="001A6E63"/>
    <w:rsid w:val="001B07A1"/>
    <w:rsid w:val="001B2CD2"/>
    <w:rsid w:val="001C3B09"/>
    <w:rsid w:val="001C4446"/>
    <w:rsid w:val="001D2684"/>
    <w:rsid w:val="001E208B"/>
    <w:rsid w:val="001F4912"/>
    <w:rsid w:val="002028B9"/>
    <w:rsid w:val="002110AC"/>
    <w:rsid w:val="00215B71"/>
    <w:rsid w:val="00216819"/>
    <w:rsid w:val="00217592"/>
    <w:rsid w:val="0022385F"/>
    <w:rsid w:val="00233146"/>
    <w:rsid w:val="00240071"/>
    <w:rsid w:val="002602BB"/>
    <w:rsid w:val="00263FFD"/>
    <w:rsid w:val="00273F6A"/>
    <w:rsid w:val="00281F5F"/>
    <w:rsid w:val="00294AC8"/>
    <w:rsid w:val="00295BF8"/>
    <w:rsid w:val="002A1FCA"/>
    <w:rsid w:val="002A7114"/>
    <w:rsid w:val="002A7491"/>
    <w:rsid w:val="002B2E3D"/>
    <w:rsid w:val="002B3FBB"/>
    <w:rsid w:val="002B4D3E"/>
    <w:rsid w:val="002C1C05"/>
    <w:rsid w:val="002C4AC2"/>
    <w:rsid w:val="002C7107"/>
    <w:rsid w:val="002D42EA"/>
    <w:rsid w:val="002D5041"/>
    <w:rsid w:val="002E23D9"/>
    <w:rsid w:val="002E673C"/>
    <w:rsid w:val="002F5C26"/>
    <w:rsid w:val="002F71F3"/>
    <w:rsid w:val="003055F8"/>
    <w:rsid w:val="0030642B"/>
    <w:rsid w:val="00307E2A"/>
    <w:rsid w:val="003104A2"/>
    <w:rsid w:val="00311B23"/>
    <w:rsid w:val="003135BE"/>
    <w:rsid w:val="00320824"/>
    <w:rsid w:val="0032229C"/>
    <w:rsid w:val="0032747C"/>
    <w:rsid w:val="00327BBB"/>
    <w:rsid w:val="00332912"/>
    <w:rsid w:val="00343C4E"/>
    <w:rsid w:val="003449D5"/>
    <w:rsid w:val="003506D8"/>
    <w:rsid w:val="00366307"/>
    <w:rsid w:val="00371667"/>
    <w:rsid w:val="003733E0"/>
    <w:rsid w:val="003745B8"/>
    <w:rsid w:val="0037769F"/>
    <w:rsid w:val="00390102"/>
    <w:rsid w:val="00391FEA"/>
    <w:rsid w:val="0039616D"/>
    <w:rsid w:val="003A1245"/>
    <w:rsid w:val="003B63C4"/>
    <w:rsid w:val="003C3C68"/>
    <w:rsid w:val="003C4A54"/>
    <w:rsid w:val="003D054A"/>
    <w:rsid w:val="003D4E1F"/>
    <w:rsid w:val="003D6FC1"/>
    <w:rsid w:val="003E01EA"/>
    <w:rsid w:val="003E524A"/>
    <w:rsid w:val="003F2B41"/>
    <w:rsid w:val="00401230"/>
    <w:rsid w:val="00404FA9"/>
    <w:rsid w:val="00407303"/>
    <w:rsid w:val="00413B13"/>
    <w:rsid w:val="0042513F"/>
    <w:rsid w:val="00426975"/>
    <w:rsid w:val="00426BD0"/>
    <w:rsid w:val="00440A85"/>
    <w:rsid w:val="004454BA"/>
    <w:rsid w:val="00447F34"/>
    <w:rsid w:val="0045279B"/>
    <w:rsid w:val="00454A4F"/>
    <w:rsid w:val="00463043"/>
    <w:rsid w:val="00464D16"/>
    <w:rsid w:val="004825F3"/>
    <w:rsid w:val="00490CB8"/>
    <w:rsid w:val="004914B2"/>
    <w:rsid w:val="004914C1"/>
    <w:rsid w:val="00492FBB"/>
    <w:rsid w:val="004948F3"/>
    <w:rsid w:val="00494A7B"/>
    <w:rsid w:val="00496CC2"/>
    <w:rsid w:val="004973DA"/>
    <w:rsid w:val="004A4687"/>
    <w:rsid w:val="004E2C28"/>
    <w:rsid w:val="004E3ADC"/>
    <w:rsid w:val="004F0C1C"/>
    <w:rsid w:val="004F2B7C"/>
    <w:rsid w:val="004F3658"/>
    <w:rsid w:val="004F3F03"/>
    <w:rsid w:val="004F6C68"/>
    <w:rsid w:val="005153FD"/>
    <w:rsid w:val="0051798D"/>
    <w:rsid w:val="00517BEA"/>
    <w:rsid w:val="005247D3"/>
    <w:rsid w:val="005260BE"/>
    <w:rsid w:val="00526F5C"/>
    <w:rsid w:val="0052754A"/>
    <w:rsid w:val="00527C49"/>
    <w:rsid w:val="005319C1"/>
    <w:rsid w:val="005325BD"/>
    <w:rsid w:val="0053455B"/>
    <w:rsid w:val="00535276"/>
    <w:rsid w:val="005363D0"/>
    <w:rsid w:val="00541923"/>
    <w:rsid w:val="00543F58"/>
    <w:rsid w:val="0055144A"/>
    <w:rsid w:val="00556221"/>
    <w:rsid w:val="005654B2"/>
    <w:rsid w:val="00565EB2"/>
    <w:rsid w:val="005668D6"/>
    <w:rsid w:val="00573915"/>
    <w:rsid w:val="00575126"/>
    <w:rsid w:val="00577B83"/>
    <w:rsid w:val="005833FE"/>
    <w:rsid w:val="0059516B"/>
    <w:rsid w:val="005A0B1B"/>
    <w:rsid w:val="005A521D"/>
    <w:rsid w:val="005B0F21"/>
    <w:rsid w:val="005B72C0"/>
    <w:rsid w:val="005C30C5"/>
    <w:rsid w:val="005C79A7"/>
    <w:rsid w:val="005D356B"/>
    <w:rsid w:val="005D5947"/>
    <w:rsid w:val="005D5F03"/>
    <w:rsid w:val="005D65BA"/>
    <w:rsid w:val="005D71B7"/>
    <w:rsid w:val="005E1BF6"/>
    <w:rsid w:val="005E4830"/>
    <w:rsid w:val="005F77E2"/>
    <w:rsid w:val="00600542"/>
    <w:rsid w:val="00600D88"/>
    <w:rsid w:val="006024C6"/>
    <w:rsid w:val="00606AD5"/>
    <w:rsid w:val="00607C1B"/>
    <w:rsid w:val="00625341"/>
    <w:rsid w:val="00626D8D"/>
    <w:rsid w:val="00632730"/>
    <w:rsid w:val="00634BE3"/>
    <w:rsid w:val="006476CE"/>
    <w:rsid w:val="00647EAE"/>
    <w:rsid w:val="006550D2"/>
    <w:rsid w:val="00656495"/>
    <w:rsid w:val="00657BCA"/>
    <w:rsid w:val="00660C94"/>
    <w:rsid w:val="00672214"/>
    <w:rsid w:val="00672270"/>
    <w:rsid w:val="00674469"/>
    <w:rsid w:val="006808BD"/>
    <w:rsid w:val="00685005"/>
    <w:rsid w:val="00687D28"/>
    <w:rsid w:val="00694821"/>
    <w:rsid w:val="00695A5F"/>
    <w:rsid w:val="006979DD"/>
    <w:rsid w:val="006A1830"/>
    <w:rsid w:val="006A35A5"/>
    <w:rsid w:val="006B00BA"/>
    <w:rsid w:val="006B768E"/>
    <w:rsid w:val="006B7FCF"/>
    <w:rsid w:val="006C1277"/>
    <w:rsid w:val="006C5F70"/>
    <w:rsid w:val="006D161E"/>
    <w:rsid w:val="006D1CD3"/>
    <w:rsid w:val="006D241C"/>
    <w:rsid w:val="006D5DE6"/>
    <w:rsid w:val="006D6855"/>
    <w:rsid w:val="006F22C9"/>
    <w:rsid w:val="006F504E"/>
    <w:rsid w:val="00700D78"/>
    <w:rsid w:val="007020E1"/>
    <w:rsid w:val="00714A94"/>
    <w:rsid w:val="00724BBE"/>
    <w:rsid w:val="00743BDA"/>
    <w:rsid w:val="00745103"/>
    <w:rsid w:val="0074784A"/>
    <w:rsid w:val="00755868"/>
    <w:rsid w:val="007578DD"/>
    <w:rsid w:val="00760886"/>
    <w:rsid w:val="007679FD"/>
    <w:rsid w:val="007717D9"/>
    <w:rsid w:val="007751ED"/>
    <w:rsid w:val="007858CB"/>
    <w:rsid w:val="0078657D"/>
    <w:rsid w:val="00790748"/>
    <w:rsid w:val="00792947"/>
    <w:rsid w:val="00797EA5"/>
    <w:rsid w:val="007A0388"/>
    <w:rsid w:val="007A4B08"/>
    <w:rsid w:val="007A5250"/>
    <w:rsid w:val="007B64CA"/>
    <w:rsid w:val="007B6721"/>
    <w:rsid w:val="007C007A"/>
    <w:rsid w:val="007C1270"/>
    <w:rsid w:val="007C1A2A"/>
    <w:rsid w:val="007C42D4"/>
    <w:rsid w:val="007C5011"/>
    <w:rsid w:val="007D4DB0"/>
    <w:rsid w:val="007E0720"/>
    <w:rsid w:val="007E1341"/>
    <w:rsid w:val="007E21B3"/>
    <w:rsid w:val="007F068B"/>
    <w:rsid w:val="007F080D"/>
    <w:rsid w:val="0080640D"/>
    <w:rsid w:val="00814D59"/>
    <w:rsid w:val="008171A0"/>
    <w:rsid w:val="00823CF7"/>
    <w:rsid w:val="00826B81"/>
    <w:rsid w:val="00832CAF"/>
    <w:rsid w:val="00835441"/>
    <w:rsid w:val="00841D24"/>
    <w:rsid w:val="00847264"/>
    <w:rsid w:val="00847901"/>
    <w:rsid w:val="00857DCB"/>
    <w:rsid w:val="00870122"/>
    <w:rsid w:val="0087299B"/>
    <w:rsid w:val="00874959"/>
    <w:rsid w:val="00874D70"/>
    <w:rsid w:val="0088193E"/>
    <w:rsid w:val="008866CB"/>
    <w:rsid w:val="008868C4"/>
    <w:rsid w:val="00886906"/>
    <w:rsid w:val="00890471"/>
    <w:rsid w:val="00896A00"/>
    <w:rsid w:val="008A00FD"/>
    <w:rsid w:val="008A0DCA"/>
    <w:rsid w:val="008A35C0"/>
    <w:rsid w:val="008A58A9"/>
    <w:rsid w:val="008A6120"/>
    <w:rsid w:val="008A62E0"/>
    <w:rsid w:val="008A6C79"/>
    <w:rsid w:val="008B4514"/>
    <w:rsid w:val="008B53F7"/>
    <w:rsid w:val="008B58BE"/>
    <w:rsid w:val="008B6863"/>
    <w:rsid w:val="008B6B69"/>
    <w:rsid w:val="008C50F4"/>
    <w:rsid w:val="008D1B37"/>
    <w:rsid w:val="008D1CD0"/>
    <w:rsid w:val="008D5736"/>
    <w:rsid w:val="008D6F19"/>
    <w:rsid w:val="008E49C1"/>
    <w:rsid w:val="008E59A3"/>
    <w:rsid w:val="008E653E"/>
    <w:rsid w:val="008F2C3B"/>
    <w:rsid w:val="008F5EE8"/>
    <w:rsid w:val="00902C4F"/>
    <w:rsid w:val="00906697"/>
    <w:rsid w:val="0091703D"/>
    <w:rsid w:val="00917B3B"/>
    <w:rsid w:val="00922E2D"/>
    <w:rsid w:val="009332B1"/>
    <w:rsid w:val="00936638"/>
    <w:rsid w:val="00936E34"/>
    <w:rsid w:val="00937ECA"/>
    <w:rsid w:val="00940347"/>
    <w:rsid w:val="009429BE"/>
    <w:rsid w:val="00944573"/>
    <w:rsid w:val="0094549A"/>
    <w:rsid w:val="00951C26"/>
    <w:rsid w:val="009548B3"/>
    <w:rsid w:val="00954CD1"/>
    <w:rsid w:val="00954E99"/>
    <w:rsid w:val="009624C0"/>
    <w:rsid w:val="00962FF0"/>
    <w:rsid w:val="0096656E"/>
    <w:rsid w:val="0097773D"/>
    <w:rsid w:val="00994A3A"/>
    <w:rsid w:val="00994F57"/>
    <w:rsid w:val="0099798B"/>
    <w:rsid w:val="009B10C4"/>
    <w:rsid w:val="009C0ADF"/>
    <w:rsid w:val="009C2CF4"/>
    <w:rsid w:val="009C2D11"/>
    <w:rsid w:val="009C5F44"/>
    <w:rsid w:val="009D7C89"/>
    <w:rsid w:val="009E1795"/>
    <w:rsid w:val="009E260B"/>
    <w:rsid w:val="009F29AF"/>
    <w:rsid w:val="009F39E0"/>
    <w:rsid w:val="009F442B"/>
    <w:rsid w:val="009F682A"/>
    <w:rsid w:val="00A035CF"/>
    <w:rsid w:val="00A12BF4"/>
    <w:rsid w:val="00A135BD"/>
    <w:rsid w:val="00A15DE3"/>
    <w:rsid w:val="00A3120F"/>
    <w:rsid w:val="00A31377"/>
    <w:rsid w:val="00A4528E"/>
    <w:rsid w:val="00A539D9"/>
    <w:rsid w:val="00A558E5"/>
    <w:rsid w:val="00A564A0"/>
    <w:rsid w:val="00A61BF0"/>
    <w:rsid w:val="00A639B5"/>
    <w:rsid w:val="00A65C2C"/>
    <w:rsid w:val="00A65CEC"/>
    <w:rsid w:val="00A67D76"/>
    <w:rsid w:val="00A71613"/>
    <w:rsid w:val="00A779C7"/>
    <w:rsid w:val="00A77DFA"/>
    <w:rsid w:val="00A77E54"/>
    <w:rsid w:val="00A8216F"/>
    <w:rsid w:val="00A977E0"/>
    <w:rsid w:val="00AA2373"/>
    <w:rsid w:val="00AA44AB"/>
    <w:rsid w:val="00AA4F41"/>
    <w:rsid w:val="00AB288D"/>
    <w:rsid w:val="00AB49BF"/>
    <w:rsid w:val="00AB4A12"/>
    <w:rsid w:val="00AD1A58"/>
    <w:rsid w:val="00AD6320"/>
    <w:rsid w:val="00AD722B"/>
    <w:rsid w:val="00AE2A7C"/>
    <w:rsid w:val="00AE2DA4"/>
    <w:rsid w:val="00AE56E3"/>
    <w:rsid w:val="00AE674D"/>
    <w:rsid w:val="00B012CA"/>
    <w:rsid w:val="00B040B2"/>
    <w:rsid w:val="00B05832"/>
    <w:rsid w:val="00B10A9C"/>
    <w:rsid w:val="00B12F5E"/>
    <w:rsid w:val="00B16A67"/>
    <w:rsid w:val="00B20D4B"/>
    <w:rsid w:val="00B452D4"/>
    <w:rsid w:val="00B454CE"/>
    <w:rsid w:val="00B7670A"/>
    <w:rsid w:val="00B82AE9"/>
    <w:rsid w:val="00B90B3B"/>
    <w:rsid w:val="00B92790"/>
    <w:rsid w:val="00B92F4A"/>
    <w:rsid w:val="00B93166"/>
    <w:rsid w:val="00B94789"/>
    <w:rsid w:val="00B96E11"/>
    <w:rsid w:val="00BA6C10"/>
    <w:rsid w:val="00BA7DDD"/>
    <w:rsid w:val="00BB1CA5"/>
    <w:rsid w:val="00BB64E5"/>
    <w:rsid w:val="00BC240B"/>
    <w:rsid w:val="00BC3D7A"/>
    <w:rsid w:val="00BC6701"/>
    <w:rsid w:val="00BD0B11"/>
    <w:rsid w:val="00BD4596"/>
    <w:rsid w:val="00BE08F0"/>
    <w:rsid w:val="00BF1C24"/>
    <w:rsid w:val="00C058B3"/>
    <w:rsid w:val="00C077C5"/>
    <w:rsid w:val="00C12C7C"/>
    <w:rsid w:val="00C157EB"/>
    <w:rsid w:val="00C15B1E"/>
    <w:rsid w:val="00C178FD"/>
    <w:rsid w:val="00C21579"/>
    <w:rsid w:val="00C24464"/>
    <w:rsid w:val="00C255FB"/>
    <w:rsid w:val="00C30FB3"/>
    <w:rsid w:val="00C33267"/>
    <w:rsid w:val="00C33839"/>
    <w:rsid w:val="00C34960"/>
    <w:rsid w:val="00C435BF"/>
    <w:rsid w:val="00C439C4"/>
    <w:rsid w:val="00C46921"/>
    <w:rsid w:val="00C51A6C"/>
    <w:rsid w:val="00C528F7"/>
    <w:rsid w:val="00C66254"/>
    <w:rsid w:val="00C71D34"/>
    <w:rsid w:val="00C7286B"/>
    <w:rsid w:val="00C73EE0"/>
    <w:rsid w:val="00C746ED"/>
    <w:rsid w:val="00C827FE"/>
    <w:rsid w:val="00C836B6"/>
    <w:rsid w:val="00C86AB1"/>
    <w:rsid w:val="00C90CAB"/>
    <w:rsid w:val="00CA26D4"/>
    <w:rsid w:val="00CA3585"/>
    <w:rsid w:val="00CA4645"/>
    <w:rsid w:val="00CA549E"/>
    <w:rsid w:val="00CA65F5"/>
    <w:rsid w:val="00CD5D41"/>
    <w:rsid w:val="00CE1700"/>
    <w:rsid w:val="00CE5B20"/>
    <w:rsid w:val="00CF061C"/>
    <w:rsid w:val="00CF6E8C"/>
    <w:rsid w:val="00D02F33"/>
    <w:rsid w:val="00D03F12"/>
    <w:rsid w:val="00D0503B"/>
    <w:rsid w:val="00D10D18"/>
    <w:rsid w:val="00D131A1"/>
    <w:rsid w:val="00D131F0"/>
    <w:rsid w:val="00D16BA3"/>
    <w:rsid w:val="00D206BF"/>
    <w:rsid w:val="00D22AB4"/>
    <w:rsid w:val="00D30DC0"/>
    <w:rsid w:val="00D37330"/>
    <w:rsid w:val="00D37961"/>
    <w:rsid w:val="00D47D41"/>
    <w:rsid w:val="00D5079E"/>
    <w:rsid w:val="00D52D4C"/>
    <w:rsid w:val="00D54370"/>
    <w:rsid w:val="00D63E5E"/>
    <w:rsid w:val="00D64880"/>
    <w:rsid w:val="00D70C10"/>
    <w:rsid w:val="00D713A0"/>
    <w:rsid w:val="00D72D62"/>
    <w:rsid w:val="00D740FC"/>
    <w:rsid w:val="00D81CD0"/>
    <w:rsid w:val="00D81FD1"/>
    <w:rsid w:val="00D859BC"/>
    <w:rsid w:val="00DA0656"/>
    <w:rsid w:val="00DA164D"/>
    <w:rsid w:val="00DA62BF"/>
    <w:rsid w:val="00DC003D"/>
    <w:rsid w:val="00DD2F3C"/>
    <w:rsid w:val="00DD4AF9"/>
    <w:rsid w:val="00DE02A3"/>
    <w:rsid w:val="00DE2B74"/>
    <w:rsid w:val="00DE55CC"/>
    <w:rsid w:val="00DE68E9"/>
    <w:rsid w:val="00E01358"/>
    <w:rsid w:val="00E03264"/>
    <w:rsid w:val="00E048E2"/>
    <w:rsid w:val="00E16D30"/>
    <w:rsid w:val="00E21911"/>
    <w:rsid w:val="00E25264"/>
    <w:rsid w:val="00E25794"/>
    <w:rsid w:val="00E35E1B"/>
    <w:rsid w:val="00E40E72"/>
    <w:rsid w:val="00E40FA6"/>
    <w:rsid w:val="00E426FA"/>
    <w:rsid w:val="00E43AEC"/>
    <w:rsid w:val="00E44E73"/>
    <w:rsid w:val="00E46698"/>
    <w:rsid w:val="00E46B36"/>
    <w:rsid w:val="00E47807"/>
    <w:rsid w:val="00E51E54"/>
    <w:rsid w:val="00E52C1C"/>
    <w:rsid w:val="00E56AB2"/>
    <w:rsid w:val="00E57E11"/>
    <w:rsid w:val="00E74AD2"/>
    <w:rsid w:val="00E75281"/>
    <w:rsid w:val="00E771CC"/>
    <w:rsid w:val="00E84BE6"/>
    <w:rsid w:val="00E950BE"/>
    <w:rsid w:val="00EA005A"/>
    <w:rsid w:val="00EA4237"/>
    <w:rsid w:val="00EA7BEA"/>
    <w:rsid w:val="00EB2CEE"/>
    <w:rsid w:val="00EB3C82"/>
    <w:rsid w:val="00EB41D7"/>
    <w:rsid w:val="00EB64F7"/>
    <w:rsid w:val="00EB76C4"/>
    <w:rsid w:val="00EB775C"/>
    <w:rsid w:val="00EC4C41"/>
    <w:rsid w:val="00ED18DA"/>
    <w:rsid w:val="00ED18F9"/>
    <w:rsid w:val="00ED296D"/>
    <w:rsid w:val="00ED2AD4"/>
    <w:rsid w:val="00ED4438"/>
    <w:rsid w:val="00ED6692"/>
    <w:rsid w:val="00EE000F"/>
    <w:rsid w:val="00EE1100"/>
    <w:rsid w:val="00EE15C5"/>
    <w:rsid w:val="00EE3AA5"/>
    <w:rsid w:val="00EE3C98"/>
    <w:rsid w:val="00EF1F89"/>
    <w:rsid w:val="00EF2FAF"/>
    <w:rsid w:val="00EF4331"/>
    <w:rsid w:val="00F0178D"/>
    <w:rsid w:val="00F0682D"/>
    <w:rsid w:val="00F12D84"/>
    <w:rsid w:val="00F24F6E"/>
    <w:rsid w:val="00F27AB5"/>
    <w:rsid w:val="00F37BE9"/>
    <w:rsid w:val="00F512BA"/>
    <w:rsid w:val="00F563DE"/>
    <w:rsid w:val="00F571DF"/>
    <w:rsid w:val="00F62F9D"/>
    <w:rsid w:val="00F73EF7"/>
    <w:rsid w:val="00F8353C"/>
    <w:rsid w:val="00F84106"/>
    <w:rsid w:val="00F87296"/>
    <w:rsid w:val="00F92950"/>
    <w:rsid w:val="00F933DB"/>
    <w:rsid w:val="00F94F84"/>
    <w:rsid w:val="00F97929"/>
    <w:rsid w:val="00FB4106"/>
    <w:rsid w:val="00FC5466"/>
    <w:rsid w:val="00FD276E"/>
    <w:rsid w:val="00FD2930"/>
    <w:rsid w:val="00FD3BE5"/>
    <w:rsid w:val="00FD7C03"/>
    <w:rsid w:val="00FF47C2"/>
    <w:rsid w:val="00FF5AEE"/>
    <w:rsid w:val="00FF637C"/>
    <w:rsid w:val="00FF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F02AD7"/>
  <w15:chartTrackingRefBased/>
  <w15:docId w15:val="{28FA4D2C-545A-AD48-910A-B4611C28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66CB"/>
    <w:pPr>
      <w:widowControl w:val="0"/>
      <w:autoSpaceDE w:val="0"/>
      <w:autoSpaceDN w:val="0"/>
      <w:ind w:left="24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950"/>
    <w:pPr>
      <w:ind w:left="720"/>
      <w:contextualSpacing/>
    </w:pPr>
  </w:style>
  <w:style w:type="character" w:styleId="Hyperlink">
    <w:name w:val="Hyperlink"/>
    <w:basedOn w:val="DefaultParagraphFont"/>
    <w:uiPriority w:val="99"/>
    <w:unhideWhenUsed/>
    <w:rsid w:val="002602BB"/>
    <w:rPr>
      <w:color w:val="0563C1" w:themeColor="hyperlink"/>
      <w:u w:val="single"/>
    </w:rPr>
  </w:style>
  <w:style w:type="character" w:styleId="UnresolvedMention">
    <w:name w:val="Unresolved Mention"/>
    <w:basedOn w:val="DefaultParagraphFont"/>
    <w:uiPriority w:val="99"/>
    <w:semiHidden/>
    <w:unhideWhenUsed/>
    <w:rsid w:val="002602BB"/>
    <w:rPr>
      <w:color w:val="605E5C"/>
      <w:shd w:val="clear" w:color="auto" w:fill="E1DFDD"/>
    </w:rPr>
  </w:style>
  <w:style w:type="paragraph" w:styleId="NormalWeb">
    <w:name w:val="Normal (Web)"/>
    <w:basedOn w:val="Normal"/>
    <w:uiPriority w:val="99"/>
    <w:semiHidden/>
    <w:unhideWhenUsed/>
    <w:rsid w:val="00496CC2"/>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866CB"/>
    <w:rPr>
      <w:rFonts w:ascii="Arial" w:eastAsia="Arial" w:hAnsi="Arial" w:cs="Arial"/>
      <w:b/>
      <w:bCs/>
      <w:sz w:val="22"/>
      <w:szCs w:val="22"/>
    </w:rPr>
  </w:style>
  <w:style w:type="paragraph" w:styleId="BodyText">
    <w:name w:val="Body Text"/>
    <w:basedOn w:val="Normal"/>
    <w:link w:val="BodyTextChar"/>
    <w:uiPriority w:val="1"/>
    <w:qFormat/>
    <w:rsid w:val="008866CB"/>
    <w:pPr>
      <w:widowControl w:val="0"/>
      <w:autoSpaceDE w:val="0"/>
      <w:autoSpaceDN w:val="0"/>
    </w:pPr>
    <w:rPr>
      <w:rFonts w:ascii="Arial" w:eastAsia="Arial" w:hAnsi="Arial" w:cs="Arial"/>
      <w:sz w:val="16"/>
      <w:szCs w:val="16"/>
    </w:rPr>
  </w:style>
  <w:style w:type="character" w:customStyle="1" w:styleId="BodyTextChar">
    <w:name w:val="Body Text Char"/>
    <w:basedOn w:val="DefaultParagraphFont"/>
    <w:link w:val="BodyText"/>
    <w:uiPriority w:val="1"/>
    <w:rsid w:val="008866CB"/>
    <w:rPr>
      <w:rFonts w:ascii="Arial" w:eastAsia="Arial" w:hAnsi="Arial" w:cs="Arial"/>
      <w:sz w:val="16"/>
      <w:szCs w:val="16"/>
    </w:rPr>
  </w:style>
  <w:style w:type="paragraph" w:customStyle="1" w:styleId="TableParagraph">
    <w:name w:val="Table Paragraph"/>
    <w:basedOn w:val="Normal"/>
    <w:uiPriority w:val="1"/>
    <w:qFormat/>
    <w:rsid w:val="008866CB"/>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24869">
      <w:bodyDiv w:val="1"/>
      <w:marLeft w:val="0"/>
      <w:marRight w:val="0"/>
      <w:marTop w:val="0"/>
      <w:marBottom w:val="0"/>
      <w:divBdr>
        <w:top w:val="none" w:sz="0" w:space="0" w:color="auto"/>
        <w:left w:val="none" w:sz="0" w:space="0" w:color="auto"/>
        <w:bottom w:val="none" w:sz="0" w:space="0" w:color="auto"/>
        <w:right w:val="none" w:sz="0" w:space="0" w:color="auto"/>
      </w:divBdr>
    </w:div>
    <w:div w:id="172402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tt.co1.qualtrics.com/jfe/form/SV_3ZPmDGppaibygId?Q_JFE=qdg" TargetMode="External"/><Relationship Id="rId3" Type="http://schemas.openxmlformats.org/officeDocument/2006/relationships/settings" Target="settings.xml"/><Relationship Id="rId7" Type="http://schemas.openxmlformats.org/officeDocument/2006/relationships/hyperlink" Target="https://pitt.co1.qualtrics.com/jfe/form/SV_1AMqmOqANF69Bd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a.nih.gov/research/grants-funding/nia-funding-line-policy-fy-2022" TargetMode="External"/><Relationship Id="rId5" Type="http://schemas.openxmlformats.org/officeDocument/2006/relationships/hyperlink" Target="https://writedit.wordpress.com/nih-paylines-resourc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Conway, Grace Elizabeth</dc:creator>
  <cp:keywords/>
  <dc:description/>
  <cp:lastModifiedBy>Conway, Grace Elizabeth</cp:lastModifiedBy>
  <cp:revision>2</cp:revision>
  <dcterms:created xsi:type="dcterms:W3CDTF">2022-11-17T22:42:00Z</dcterms:created>
  <dcterms:modified xsi:type="dcterms:W3CDTF">2022-11-17T22:42:00Z</dcterms:modified>
</cp:coreProperties>
</file>