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FC97B" w14:textId="77777777" w:rsidR="002E2B26" w:rsidRPr="002E2B26" w:rsidRDefault="002E2B26" w:rsidP="002E2B2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2B26">
        <w:rPr>
          <w:rFonts w:ascii="Arial" w:hAnsi="Arial" w:cs="Arial"/>
          <w:color w:val="000000" w:themeColor="text1"/>
          <w:sz w:val="22"/>
          <w:szCs w:val="22"/>
        </w:rPr>
        <w:t>Bibliography</w:t>
      </w:r>
    </w:p>
    <w:p w14:paraId="20C12EF4" w14:textId="77777777" w:rsidR="002E2B26" w:rsidRPr="002E2B26" w:rsidRDefault="002E2B26" w:rsidP="002E2B26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Pr="002E2B26">
        <w:rPr>
          <w:rFonts w:ascii="Arial" w:hAnsi="Arial" w:cs="Arial"/>
          <w:color w:val="000000" w:themeColor="text1"/>
          <w:sz w:val="22"/>
          <w:szCs w:val="22"/>
        </w:rPr>
        <w:instrText>ADDIN F1000_CSL_BIBLIOGRAPHY</w:instrText>
      </w:r>
      <w:r w:rsidRPr="002E2B26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</w:p>
    <w:p w14:paraId="2E33141E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GBD 2016 Alcohol and Drug Use Collaborators. The global burden of disease attributable to alcohol and drug use in 195 countries and territories, 1990-2016: a systematic analysis for the Global Burden of Disease Study 2016.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Lancet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5,</w:t>
      </w:r>
      <w:r w:rsidRPr="002E2B26">
        <w:rPr>
          <w:rFonts w:ascii="Arial" w:hAnsi="Arial" w:cs="Arial"/>
          <w:noProof/>
          <w:sz w:val="22"/>
          <w:szCs w:val="22"/>
        </w:rPr>
        <w:t xml:space="preserve"> 987–1012 (2018).</w:t>
      </w:r>
    </w:p>
    <w:p w14:paraId="789795B1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Ducci, F. &amp; Goldman, D. The genetic basis of addictive disorders.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Psychiatr Clin North Am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35,</w:t>
      </w:r>
      <w:r w:rsidRPr="002E2B26">
        <w:rPr>
          <w:rFonts w:ascii="Arial" w:hAnsi="Arial" w:cs="Arial"/>
          <w:noProof/>
          <w:sz w:val="22"/>
          <w:szCs w:val="22"/>
        </w:rPr>
        <w:t xml:space="preserve"> 495–519 (2012).</w:t>
      </w:r>
    </w:p>
    <w:p w14:paraId="6A569C7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Dick, D. M. The genetics of addiction: where do we go from here?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J Stud Alcohol Drugs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77,</w:t>
      </w:r>
      <w:r w:rsidRPr="002E2B26">
        <w:rPr>
          <w:rFonts w:ascii="Arial" w:hAnsi="Arial" w:cs="Arial"/>
          <w:noProof/>
          <w:sz w:val="22"/>
          <w:szCs w:val="22"/>
        </w:rPr>
        <w:t xml:space="preserve"> 673–675 (2016).</w:t>
      </w:r>
    </w:p>
    <w:p w14:paraId="17BE448C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Waaktaar, T., Kan, K.-J. &amp; Torgersen, S. The genetic and environmental architecture of substance use development from early adolescence into young adulthood: a longitudinal twin study of comorbidity of alcohol, tobacco and illicit drug use.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Addiction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113,</w:t>
      </w:r>
      <w:r w:rsidRPr="002E2B26">
        <w:rPr>
          <w:rFonts w:ascii="Arial" w:hAnsi="Arial" w:cs="Arial"/>
          <w:noProof/>
          <w:sz w:val="22"/>
          <w:szCs w:val="22"/>
        </w:rPr>
        <w:t xml:space="preserve"> 740–748 (2018).</w:t>
      </w:r>
    </w:p>
    <w:p w14:paraId="7958803A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Hällfors, J.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Genome-wide association study in Finnish twins highlights the connection between nicotine addiction and neurotrophin signaling pathway.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Addict Biol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24,</w:t>
      </w:r>
      <w:r w:rsidRPr="002E2B26">
        <w:rPr>
          <w:rFonts w:ascii="Arial" w:hAnsi="Arial" w:cs="Arial"/>
          <w:noProof/>
          <w:sz w:val="22"/>
          <w:szCs w:val="22"/>
        </w:rPr>
        <w:t xml:space="preserve"> 549–561 (2019).</w:t>
      </w:r>
    </w:p>
    <w:p w14:paraId="533C3B50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Dickson, P. 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Association of novelty-related behaviors and intravenous cocaine self-administration in Diversity Outbred mice.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Psychopharmacology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232,</w:t>
      </w:r>
      <w:r w:rsidRPr="002E2B26">
        <w:rPr>
          <w:rFonts w:ascii="Arial" w:hAnsi="Arial" w:cs="Arial"/>
          <w:noProof/>
          <w:sz w:val="22"/>
          <w:szCs w:val="22"/>
        </w:rPr>
        <w:t xml:space="preserve"> 1011–1024 (2015).</w:t>
      </w:r>
    </w:p>
    <w:p w14:paraId="48BC4AD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Saul, M. C.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Genetic variation and sex differences are missed opportunities for addiction biology.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doi:10.1101/2020.02.14.949784</w:t>
      </w:r>
    </w:p>
    <w:p w14:paraId="7A90380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Flagel, S. B.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Genetic background and epigenetic modifications in the core of the nucleus accumbens predict addiction-like behavior in a rat model.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Proc. Natl. Acad. Sci. USA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113,</w:t>
      </w:r>
      <w:r w:rsidRPr="002E2B26">
        <w:rPr>
          <w:rFonts w:ascii="Arial" w:hAnsi="Arial" w:cs="Arial"/>
          <w:noProof/>
          <w:sz w:val="22"/>
          <w:szCs w:val="22"/>
        </w:rPr>
        <w:t xml:space="preserve"> E2861-70 (2016).</w:t>
      </w:r>
    </w:p>
    <w:p w14:paraId="09C34708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Dickson, P. 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Systems genetics of intravenous cocaine self-administration in the BXD recombinant inbred mouse panel.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Psychopharmacology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233,</w:t>
      </w:r>
      <w:r w:rsidRPr="002E2B26">
        <w:rPr>
          <w:rFonts w:ascii="Arial" w:hAnsi="Arial" w:cs="Arial"/>
          <w:noProof/>
          <w:sz w:val="22"/>
          <w:szCs w:val="22"/>
        </w:rPr>
        <w:t xml:space="preserve"> 701–714 (2016).</w:t>
      </w:r>
    </w:p>
    <w:p w14:paraId="2388BE92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Dickson, P. 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Sex and strain influence attribution of incentive salience to reward cues in mice.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Behav. Brain Res.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292,</w:t>
      </w:r>
      <w:r w:rsidRPr="002E2B26">
        <w:rPr>
          <w:rFonts w:ascii="Arial" w:hAnsi="Arial" w:cs="Arial"/>
          <w:noProof/>
          <w:sz w:val="22"/>
          <w:szCs w:val="22"/>
        </w:rPr>
        <w:t xml:space="preserve"> 305–315 (2015).</w:t>
      </w:r>
    </w:p>
    <w:p w14:paraId="5003B783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Volkow, N. D. &amp; Morales, M. The brain on drugs: from reward to addiction.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Cell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162,</w:t>
      </w:r>
      <w:r w:rsidRPr="002E2B26">
        <w:rPr>
          <w:rFonts w:ascii="Arial" w:hAnsi="Arial" w:cs="Arial"/>
          <w:noProof/>
          <w:sz w:val="22"/>
          <w:szCs w:val="22"/>
        </w:rPr>
        <w:t xml:space="preserve"> 712–725 (2015).</w:t>
      </w:r>
    </w:p>
    <w:p w14:paraId="39A3F994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Scofield, M. D.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The Nucleus Accumbens: Mechanisms of Addiction across Drug Classes Reflect the Importance of Glutamate Homeostasis.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Pharmacol. Rev.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68,</w:t>
      </w:r>
      <w:r w:rsidRPr="002E2B26">
        <w:rPr>
          <w:rFonts w:ascii="Arial" w:hAnsi="Arial" w:cs="Arial"/>
          <w:noProof/>
          <w:sz w:val="22"/>
          <w:szCs w:val="22"/>
        </w:rPr>
        <w:t xml:space="preserve"> 816–871 (2016).</w:t>
      </w:r>
    </w:p>
    <w:p w14:paraId="62AA6633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Schall, T. A., Wright, W. J. &amp; Dong, Y. Nucleus accumbens fast-spiking interneurons in motivational and addictive behaviors.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Mol.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doi:10.1038/s41380-020-0683-y</w:t>
      </w:r>
    </w:p>
    <w:p w14:paraId="3E1F9EA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Lee, J. H.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Dopaminergic regulation of nucleus accumbens cholinergic interneurons demarcates susceptibility to cocaine addiction.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Biol.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doi:10.1016/j.biopsych.2020.05.003</w:t>
      </w:r>
    </w:p>
    <w:p w14:paraId="5E162443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Avey, D.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Single-Cell RNA-Seq Uncovers a Robust Transcriptional Response to Morphine by Glia.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Cell Rep.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24,</w:t>
      </w:r>
      <w:r w:rsidRPr="002E2B26">
        <w:rPr>
          <w:rFonts w:ascii="Arial" w:hAnsi="Arial" w:cs="Arial"/>
          <w:noProof/>
          <w:sz w:val="22"/>
          <w:szCs w:val="22"/>
        </w:rPr>
        <w:t xml:space="preserve"> 3619–3629.e4 (2018).</w:t>
      </w:r>
    </w:p>
    <w:p w14:paraId="127A1601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Fullard, J. F.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Open chromatin profiling of human postmortem brain infers functional roles for non-coding schizophrenia loci.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Hum. Mol.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26,</w:t>
      </w:r>
      <w:r w:rsidRPr="002E2B26">
        <w:rPr>
          <w:rFonts w:ascii="Arial" w:hAnsi="Arial" w:cs="Arial"/>
          <w:noProof/>
          <w:sz w:val="22"/>
          <w:szCs w:val="22"/>
        </w:rPr>
        <w:t xml:space="preserve"> 1942–1951 (2017).</w:t>
      </w:r>
    </w:p>
    <w:p w14:paraId="70AADAE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Fromer, 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Gene expression elucidates functional impact of polygenic risk for schizophrenia.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19,</w:t>
      </w:r>
      <w:r w:rsidRPr="002E2B26">
        <w:rPr>
          <w:rFonts w:ascii="Arial" w:hAnsi="Arial" w:cs="Arial"/>
          <w:noProof/>
          <w:sz w:val="22"/>
          <w:szCs w:val="22"/>
        </w:rPr>
        <w:t xml:space="preserve"> 1442–1453 (2016).</w:t>
      </w:r>
    </w:p>
    <w:p w14:paraId="659CFF7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Dong, X.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Enhancers active in dopamine neurons are a primary link between genetic variation and neuropsychiatric disease.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21,</w:t>
      </w:r>
      <w:r w:rsidRPr="002E2B26">
        <w:rPr>
          <w:rFonts w:ascii="Arial" w:hAnsi="Arial" w:cs="Arial"/>
          <w:noProof/>
          <w:sz w:val="22"/>
          <w:szCs w:val="22"/>
        </w:rPr>
        <w:t xml:space="preserve"> 1482–1492 (2018).</w:t>
      </w:r>
    </w:p>
    <w:p w14:paraId="5301B54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Tak, Y. G. &amp; Farnham, P. J. Making sense of GWAS: using epigenomics and genome engineering to understand the functional relevance of SNPs in non-coding regions of the human genome.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Epigenetics Chromatin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8,</w:t>
      </w:r>
      <w:r w:rsidRPr="002E2B26">
        <w:rPr>
          <w:rFonts w:ascii="Arial" w:hAnsi="Arial" w:cs="Arial"/>
          <w:noProof/>
          <w:sz w:val="22"/>
          <w:szCs w:val="22"/>
        </w:rPr>
        <w:t xml:space="preserve"> 57 (2015).</w:t>
      </w:r>
    </w:p>
    <w:p w14:paraId="039422F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Brown, C. D., Mangravite, L. M. &amp; Engelhardt, B. E. Integrative modeling of eQTLs and cis-regulatory elements suggests mechanisms underlying cell type specificity of eQTLs.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PLoS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9,</w:t>
      </w:r>
      <w:r w:rsidRPr="002E2B26">
        <w:rPr>
          <w:rFonts w:ascii="Arial" w:hAnsi="Arial" w:cs="Arial"/>
          <w:noProof/>
          <w:sz w:val="22"/>
          <w:szCs w:val="22"/>
        </w:rPr>
        <w:t xml:space="preserve"> e1003649 (2013).</w:t>
      </w:r>
    </w:p>
    <w:p w14:paraId="650EEE3E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van Arensbergen, J.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High-throughput identification of human SNPs affecting regulatory element activity.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51,</w:t>
      </w:r>
      <w:r w:rsidRPr="002E2B26">
        <w:rPr>
          <w:rFonts w:ascii="Arial" w:hAnsi="Arial" w:cs="Arial"/>
          <w:noProof/>
          <w:sz w:val="22"/>
          <w:szCs w:val="22"/>
        </w:rPr>
        <w:t xml:space="preserve"> 1160–1169 (2019).</w:t>
      </w:r>
    </w:p>
    <w:p w14:paraId="08D6B26B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Bastle, R. M. &amp; Maze, I. Chromatin regulation in complex brain disorders.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Curr. Opin. Behav. 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25,</w:t>
      </w:r>
      <w:r w:rsidRPr="002E2B26">
        <w:rPr>
          <w:rFonts w:ascii="Arial" w:hAnsi="Arial" w:cs="Arial"/>
          <w:noProof/>
          <w:sz w:val="22"/>
          <w:szCs w:val="22"/>
        </w:rPr>
        <w:t xml:space="preserve"> 57–65 (2019).</w:t>
      </w:r>
    </w:p>
    <w:p w14:paraId="2F8769F2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Forrest, M. P.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Open Chromatin Profiling in hiPSC-Derived Neurons Prioritizes Functional Noncoding Psychiatric Risk Variants and Highlights Neurodevelopmental Loci.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Cell Stem Cell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21,</w:t>
      </w:r>
      <w:r w:rsidRPr="002E2B26">
        <w:rPr>
          <w:rFonts w:ascii="Arial" w:hAnsi="Arial" w:cs="Arial"/>
          <w:noProof/>
          <w:sz w:val="22"/>
          <w:szCs w:val="22"/>
        </w:rPr>
        <w:t xml:space="preserve"> 305–318.e8 (2017).</w:t>
      </w:r>
    </w:p>
    <w:p w14:paraId="78F82FCB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Shu, C.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Epigenome-wide study of brain DNA methylation among opioid users and controls.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doi:10.1101/2020.11.10.377069</w:t>
      </w:r>
    </w:p>
    <w:p w14:paraId="644E7881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Yoon, K.-J.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Modeling a genetic risk for schizophrenia in iPSCs and mice reveals neural stem cell </w:t>
      </w:r>
      <w:r w:rsidRPr="002E2B26">
        <w:rPr>
          <w:rFonts w:ascii="Arial" w:hAnsi="Arial" w:cs="Arial"/>
          <w:noProof/>
          <w:sz w:val="22"/>
          <w:szCs w:val="22"/>
        </w:rPr>
        <w:lastRenderedPageBreak/>
        <w:t xml:space="preserve">deficits associated with adherens junctions and polarity.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Cell Stem Cell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15,</w:t>
      </w:r>
      <w:r w:rsidRPr="002E2B26">
        <w:rPr>
          <w:rFonts w:ascii="Arial" w:hAnsi="Arial" w:cs="Arial"/>
          <w:noProof/>
          <w:sz w:val="22"/>
          <w:szCs w:val="22"/>
        </w:rPr>
        <w:t xml:space="preserve"> 79–91 (2014).</w:t>
      </w:r>
    </w:p>
    <w:p w14:paraId="3171CD2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Bryois, J.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Evaluation of chromatin accessibility in prefrontal cortex of individuals with schizophrenia.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Commun.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9,</w:t>
      </w:r>
      <w:r w:rsidRPr="002E2B26">
        <w:rPr>
          <w:rFonts w:ascii="Arial" w:hAnsi="Arial" w:cs="Arial"/>
          <w:noProof/>
          <w:sz w:val="22"/>
          <w:szCs w:val="22"/>
        </w:rPr>
        <w:t xml:space="preserve"> 3121 (2018).</w:t>
      </w:r>
    </w:p>
    <w:p w14:paraId="75D7EDF0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Corces, M. R.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Single-cell epigenomic identification of inherited risk loci in Alzheimer’s and Parkinson’s disease.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doi:10.1101/2020.01.06.896159</w:t>
      </w:r>
    </w:p>
    <w:p w14:paraId="77D006CC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Roadmap Epigenomics Consortium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Integrative analysis of 111 reference human epigenomes.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Nature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518,</w:t>
      </w:r>
      <w:r w:rsidRPr="002E2B26">
        <w:rPr>
          <w:rFonts w:ascii="Arial" w:hAnsi="Arial" w:cs="Arial"/>
          <w:noProof/>
          <w:sz w:val="22"/>
          <w:szCs w:val="22"/>
        </w:rPr>
        <w:t xml:space="preserve"> 317–330 (2015).</w:t>
      </w:r>
    </w:p>
    <w:p w14:paraId="02A1AEA2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29.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Heinz, S., Romanoski, C. E., Benner, C. &amp; Glass, C. K. The selection and function of cell type-specific enhancers.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Rev. Mol. Cell Biol.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16,</w:t>
      </w:r>
      <w:r w:rsidRPr="002E2B26">
        <w:rPr>
          <w:rFonts w:ascii="Arial" w:hAnsi="Arial" w:cs="Arial"/>
          <w:noProof/>
          <w:sz w:val="22"/>
          <w:szCs w:val="22"/>
        </w:rPr>
        <w:t xml:space="preserve"> 144–154 (2015).</w:t>
      </w:r>
    </w:p>
    <w:p w14:paraId="0FB52D5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Nott, 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Brain cell type-specific enhancer-promoter interactome maps and disease-risk association.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Science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366,</w:t>
      </w:r>
      <w:r w:rsidRPr="002E2B26">
        <w:rPr>
          <w:rFonts w:ascii="Arial" w:hAnsi="Arial" w:cs="Arial"/>
          <w:noProof/>
          <w:sz w:val="22"/>
          <w:szCs w:val="22"/>
        </w:rPr>
        <w:t xml:space="preserve"> 1134–1139 (2019).</w:t>
      </w:r>
    </w:p>
    <w:p w14:paraId="3498DD5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Hrvatin, 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A scalable platform for the development of cell-type-specific viral drivers.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Elife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8,</w:t>
      </w:r>
      <w:r w:rsidRPr="002E2B26">
        <w:rPr>
          <w:rFonts w:ascii="Arial" w:hAnsi="Arial" w:cs="Arial"/>
          <w:noProof/>
          <w:sz w:val="22"/>
          <w:szCs w:val="22"/>
        </w:rPr>
        <w:t xml:space="preserve"> (2019).</w:t>
      </w:r>
    </w:p>
    <w:p w14:paraId="67710E34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Blankvoort, S., Witter, M. P., Noonan, J., Cotney, J. &amp; Kentros, C. Marked Diversity of Unique Cortical Enhancers Enables Neuron-Specific Tools by Enhancer-Driven Gene Expression.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Curr. Biol.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28,</w:t>
      </w:r>
      <w:r w:rsidRPr="002E2B26">
        <w:rPr>
          <w:rFonts w:ascii="Arial" w:hAnsi="Arial" w:cs="Arial"/>
          <w:noProof/>
          <w:sz w:val="22"/>
          <w:szCs w:val="22"/>
        </w:rPr>
        <w:t xml:space="preserve"> 2103–2114.e5 (2018).</w:t>
      </w:r>
    </w:p>
    <w:p w14:paraId="773ABD6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Minnoye, L.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Cross-species analysis of enhancer logic using deep learning.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Genome Res.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doi:10.1101/gr.260844.120</w:t>
      </w:r>
    </w:p>
    <w:p w14:paraId="2381E4F4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Satpathy, A. T.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Massively parallel single-cell chromatin landscapes of human immune cell development and intratumoral T cell exhaustion.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Biotechnol.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37,</w:t>
      </w:r>
      <w:r w:rsidRPr="002E2B26">
        <w:rPr>
          <w:rFonts w:ascii="Arial" w:hAnsi="Arial" w:cs="Arial"/>
          <w:noProof/>
          <w:sz w:val="22"/>
          <w:szCs w:val="22"/>
        </w:rPr>
        <w:t xml:space="preserve"> 925–936 (2019).</w:t>
      </w:r>
    </w:p>
    <w:p w14:paraId="49391CE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McCole, R. B., Erceg, J., Saylor, W. &amp; Wu, C. Ultraconserved Elements Occupy Specific Arenas of Three-Dimensional Mammalian Genome Organization.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Cell Reports</w:t>
      </w:r>
      <w:r w:rsidRPr="002E2B26">
        <w:rPr>
          <w:rFonts w:ascii="Arial" w:hAnsi="Arial" w:cs="Arial"/>
          <w:noProof/>
          <w:sz w:val="22"/>
          <w:szCs w:val="22"/>
        </w:rPr>
        <w:t xml:space="preserve"> (2018).</w:t>
      </w:r>
    </w:p>
    <w:p w14:paraId="2F17004B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Sanges, R.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Highly conserved elements discovered in vertebrates are present in non-syntenic loci of tunicates, act as enhancers and can be transcribed during development.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Nucleic Acids Res.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41,</w:t>
      </w:r>
      <w:r w:rsidRPr="002E2B26">
        <w:rPr>
          <w:rFonts w:ascii="Arial" w:hAnsi="Arial" w:cs="Arial"/>
          <w:noProof/>
          <w:sz w:val="22"/>
          <w:szCs w:val="22"/>
        </w:rPr>
        <w:t xml:space="preserve"> 3600–3618 (2013).</w:t>
      </w:r>
    </w:p>
    <w:p w14:paraId="20731B6F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Klein, J. C., Keith, A., Agarwal, V., Durham, T. &amp; Shendure, J. Functional characterization of enhancer evolution in the primate lineage.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Genome Biol.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19,</w:t>
      </w:r>
      <w:r w:rsidRPr="002E2B26">
        <w:rPr>
          <w:rFonts w:ascii="Arial" w:hAnsi="Arial" w:cs="Arial"/>
          <w:noProof/>
          <w:sz w:val="22"/>
          <w:szCs w:val="22"/>
        </w:rPr>
        <w:t xml:space="preserve"> 99 (2018).</w:t>
      </w:r>
    </w:p>
    <w:p w14:paraId="7AF0312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Flores, M. A. &amp; Ovcharenko, I. Enhancer reprogramming in mammalian genomes.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BMC Bioinformatics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19,</w:t>
      </w:r>
      <w:r w:rsidRPr="002E2B26">
        <w:rPr>
          <w:rFonts w:ascii="Arial" w:hAnsi="Arial" w:cs="Arial"/>
          <w:noProof/>
          <w:sz w:val="22"/>
          <w:szCs w:val="22"/>
        </w:rPr>
        <w:t xml:space="preserve"> 316 (2018).</w:t>
      </w:r>
    </w:p>
    <w:p w14:paraId="6B9AE8CE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39.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Yang, 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Functionally conserved enhancers with divergent sequences in distant vertebrates.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BMC Genomics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16,</w:t>
      </w:r>
      <w:r w:rsidRPr="002E2B26">
        <w:rPr>
          <w:rFonts w:ascii="Arial" w:hAnsi="Arial" w:cs="Arial"/>
          <w:noProof/>
          <w:sz w:val="22"/>
          <w:szCs w:val="22"/>
        </w:rPr>
        <w:t xml:space="preserve"> 882 (2015).</w:t>
      </w:r>
    </w:p>
    <w:p w14:paraId="30E20ADE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Chen, L., Fish, A. E. &amp; Capra, J. A. Prediction of gene regulatory enhancers across species reveals evolutionarily conserved sequence properties.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PLoS Comput. Biol.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14,</w:t>
      </w:r>
      <w:r w:rsidRPr="002E2B26">
        <w:rPr>
          <w:rFonts w:ascii="Arial" w:hAnsi="Arial" w:cs="Arial"/>
          <w:noProof/>
          <w:sz w:val="22"/>
          <w:szCs w:val="22"/>
        </w:rPr>
        <w:t xml:space="preserve"> e1006484 (2018).</w:t>
      </w:r>
    </w:p>
    <w:p w14:paraId="6AC7AD01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He, J.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Transcriptional diversity of medium spiny neurons in the primate striatum.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doi:10.1101/2020.10.25.354159</w:t>
      </w:r>
    </w:p>
    <w:p w14:paraId="0944EEB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Srinivasan, C.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Addiction-associated genetic variants implicate brain cell type- and region-specific cis-regulatory elements in addiction neurobiology.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doi:10.1101/2020.09.29.318329</w:t>
      </w:r>
    </w:p>
    <w:p w14:paraId="34866C9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Stanley, G., Gokce, O., Malenka, R. C., Südhof, T. C. &amp; Quake, S. R. Continuous and discrete neuron types of the adult murine striatum.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Neuron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105,</w:t>
      </w:r>
      <w:r w:rsidRPr="002E2B26">
        <w:rPr>
          <w:rFonts w:ascii="Arial" w:hAnsi="Arial" w:cs="Arial"/>
          <w:noProof/>
          <w:sz w:val="22"/>
          <w:szCs w:val="22"/>
        </w:rPr>
        <w:t xml:space="preserve"> 688–699.e8 (2020).</w:t>
      </w:r>
    </w:p>
    <w:p w14:paraId="2400F111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Gokce, O.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Cellular Taxonomy of the Mouse Striatum as Revealed by Single-Cell RNA-Seq.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Cell Rep.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16,</w:t>
      </w:r>
      <w:r w:rsidRPr="002E2B26">
        <w:rPr>
          <w:rFonts w:ascii="Arial" w:hAnsi="Arial" w:cs="Arial"/>
          <w:noProof/>
          <w:sz w:val="22"/>
          <w:szCs w:val="22"/>
        </w:rPr>
        <w:t xml:space="preserve"> 1126–1137 (2016).</w:t>
      </w:r>
    </w:p>
    <w:p w14:paraId="532CD797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Zeisel, 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Molecular architecture of the mouse nervous system.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Cell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174,</w:t>
      </w:r>
      <w:r w:rsidRPr="002E2B26">
        <w:rPr>
          <w:rFonts w:ascii="Arial" w:hAnsi="Arial" w:cs="Arial"/>
          <w:noProof/>
          <w:sz w:val="22"/>
          <w:szCs w:val="22"/>
        </w:rPr>
        <w:t xml:space="preserve"> 999–1014.e22 (2018).</w:t>
      </w:r>
    </w:p>
    <w:p w14:paraId="7A57A174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Savell, K. 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A dopamine-induced gene expression signature regulates neuronal function and cocaine response.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Sci. Adv.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6,</w:t>
      </w:r>
      <w:r w:rsidRPr="002E2B26">
        <w:rPr>
          <w:rFonts w:ascii="Arial" w:hAnsi="Arial" w:cs="Arial"/>
          <w:noProof/>
          <w:sz w:val="22"/>
          <w:szCs w:val="22"/>
        </w:rPr>
        <w:t xml:space="preserve"> eaba4221 (2020).</w:t>
      </w:r>
    </w:p>
    <w:p w14:paraId="0ED9EB0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Tran, M. 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Single-nucleus transcriptome analysis reveals cell type-specific molecular signatures across reward circuitry in the human brain.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doi:10.1101/2020.10.07.329839</w:t>
      </w:r>
    </w:p>
    <w:p w14:paraId="591A708A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Karlsson Linnér, R.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Genome-wide association analyses of risk tolerance and risky behaviors in over 1 million individuals identify hundreds of loci and shared genetic influences.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51,</w:t>
      </w:r>
      <w:r w:rsidRPr="002E2B26">
        <w:rPr>
          <w:rFonts w:ascii="Arial" w:hAnsi="Arial" w:cs="Arial"/>
          <w:noProof/>
          <w:sz w:val="22"/>
          <w:szCs w:val="22"/>
        </w:rPr>
        <w:t xml:space="preserve"> 245–257 (2019).</w:t>
      </w:r>
    </w:p>
    <w:p w14:paraId="665C47C8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49.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Pasman, J. 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GWAS of lifetime cannabis use reveals new risk loci, genetic overlap with psychiatric traits, and a causal influence of schizophrenia.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21,</w:t>
      </w:r>
      <w:r w:rsidRPr="002E2B26">
        <w:rPr>
          <w:rFonts w:ascii="Arial" w:hAnsi="Arial" w:cs="Arial"/>
          <w:noProof/>
          <w:sz w:val="22"/>
          <w:szCs w:val="22"/>
        </w:rPr>
        <w:t xml:space="preserve"> 1161–1170 (2018).</w:t>
      </w:r>
    </w:p>
    <w:p w14:paraId="7D3AA1D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Johnson, E. C.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A large-scale genome-wide association study meta-analysis of cannabis use disorder.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Lancet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doi:10.1016/S2215-0366(20)30339-4</w:t>
      </w:r>
    </w:p>
    <w:p w14:paraId="4D5F9B4F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Munn-Chernoff, M. 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Shared genetic risk between eating disorder- and substance-use-related phenotypes: Evidence from genome-wide association studies.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Addict Biol</w:t>
      </w:r>
      <w:r w:rsidRPr="002E2B26">
        <w:rPr>
          <w:rFonts w:ascii="Arial" w:hAnsi="Arial" w:cs="Arial"/>
          <w:noProof/>
          <w:sz w:val="22"/>
          <w:szCs w:val="22"/>
        </w:rPr>
        <w:t xml:space="preserve"> e12880 (2020). doi:10.1111/adb.12880</w:t>
      </w:r>
    </w:p>
    <w:p w14:paraId="67D5F63F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Zhou, H.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Genome-wide meta-analysis of problematic alcohol use in 435,563 individuals yields </w:t>
      </w:r>
      <w:r w:rsidRPr="002E2B26">
        <w:rPr>
          <w:rFonts w:ascii="Arial" w:hAnsi="Arial" w:cs="Arial"/>
          <w:noProof/>
          <w:sz w:val="22"/>
          <w:szCs w:val="22"/>
        </w:rPr>
        <w:lastRenderedPageBreak/>
        <w:t xml:space="preserve">insights into biology and relationships with other traits.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23,</w:t>
      </w:r>
      <w:r w:rsidRPr="002E2B26">
        <w:rPr>
          <w:rFonts w:ascii="Arial" w:hAnsi="Arial" w:cs="Arial"/>
          <w:noProof/>
          <w:sz w:val="22"/>
          <w:szCs w:val="22"/>
        </w:rPr>
        <w:t xml:space="preserve"> 809–818 (2020).</w:t>
      </w:r>
    </w:p>
    <w:p w14:paraId="1654B2D8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Karlsson Linner, R.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Multivariate genomic analysis of 1.5 million people identifies genes related to addiction, antisocial behavior, and health.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doi:10.1101/2020.10.16.342501</w:t>
      </w:r>
    </w:p>
    <w:p w14:paraId="4A5DC7C8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Mallard, T. T.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Multivariate GWAS elucidates the genetic architecture of alcohol consumption and misuse, corrects biases, and reveals novel associations with disease.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doi:10.1101/2020.09.21.304196</w:t>
      </w:r>
    </w:p>
    <w:p w14:paraId="0AC63028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Li, 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An atlas of gene regulatory elements in adult mouse cerebrum.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doi:10.1101/2020.05.10.087585</w:t>
      </w:r>
    </w:p>
    <w:p w14:paraId="7032229B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56.</w:t>
      </w:r>
      <w:r w:rsidRPr="002E2B26">
        <w:rPr>
          <w:rFonts w:ascii="Arial" w:hAnsi="Arial" w:cs="Arial"/>
          <w:noProof/>
          <w:sz w:val="22"/>
          <w:szCs w:val="22"/>
        </w:rPr>
        <w:tab/>
        <w:t>Bose, J., Hedden, S. L., Lipari, R. N. &amp; Park-Lee, E. Key Substance Use and Mental Health Indicators in the United States:Results from the 2017 National Survey on Drug Use and Health. (2018). at &lt;https://www.samhsa.gov/data/report/2017-nsduh-annual-national-report&gt;</w:t>
      </w:r>
    </w:p>
    <w:p w14:paraId="4E66775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Eddie, D., Greene, M. C., White, W. L. &amp; Kelly, J. F. Medical burden of disease among individuals in recovery from alcohol and other drug problems in the united states: findings from the national recovery survey.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J Addict Med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13,</w:t>
      </w:r>
      <w:r w:rsidRPr="002E2B26">
        <w:rPr>
          <w:rFonts w:ascii="Arial" w:hAnsi="Arial" w:cs="Arial"/>
          <w:noProof/>
          <w:sz w:val="22"/>
          <w:szCs w:val="22"/>
        </w:rPr>
        <w:t xml:space="preserve"> 385–395 (2019).</w:t>
      </w:r>
    </w:p>
    <w:p w14:paraId="4BFE09B8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Wang, Q. Q., Kaelber, D. C., Xu, R. &amp; Volkow, N. D. COVID-19 risk and outcomes in patients with substance use disorders: analyses from electronic health records in the United States.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Mol.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doi:10.1038/s41380-020-00880-7</w:t>
      </w:r>
    </w:p>
    <w:p w14:paraId="6BC7B700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59.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Welty, L. J.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Health Disparities in Drug- and Alcohol-Use Disorders: A 12-Year Longitudinal Study of Youths After Detention.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Am. J. Public Health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106,</w:t>
      </w:r>
      <w:r w:rsidRPr="002E2B26">
        <w:rPr>
          <w:rFonts w:ascii="Arial" w:hAnsi="Arial" w:cs="Arial"/>
          <w:noProof/>
          <w:sz w:val="22"/>
          <w:szCs w:val="22"/>
        </w:rPr>
        <w:t xml:space="preserve"> 872–880 (2016).</w:t>
      </w:r>
    </w:p>
    <w:p w14:paraId="67C46F10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Teeters, J. B., Lancaster, C. L., Brown, D. G. &amp; Back, S. E. Substance use disorders in military veterans: prevalence and treatment challenges.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Subst. Abuse Rehabil.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8,</w:t>
      </w:r>
      <w:r w:rsidRPr="002E2B26">
        <w:rPr>
          <w:rFonts w:ascii="Arial" w:hAnsi="Arial" w:cs="Arial"/>
          <w:noProof/>
          <w:sz w:val="22"/>
          <w:szCs w:val="22"/>
        </w:rPr>
        <w:t xml:space="preserve"> 69–77 (2017).</w:t>
      </w:r>
    </w:p>
    <w:p w14:paraId="75E5A09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Pullen, E. &amp; Oser, C. Barriers to substance abuse treatment in rural and urban communities: counselor perspectives.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Subst Use Misuse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49,</w:t>
      </w:r>
      <w:r w:rsidRPr="002E2B26">
        <w:rPr>
          <w:rFonts w:ascii="Arial" w:hAnsi="Arial" w:cs="Arial"/>
          <w:noProof/>
          <w:sz w:val="22"/>
          <w:szCs w:val="22"/>
        </w:rPr>
        <w:t xml:space="preserve"> 891–901 (2014).</w:t>
      </w:r>
    </w:p>
    <w:p w14:paraId="054E8A4A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Hoggatt, K. J., Frayne, S. M., Saechao, F. S., Yano, E. M. &amp; Washington, D. L. Substance Use Disorder-Related Disparities in Patient Experiences of Primary Care.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Health Equity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3,</w:t>
      </w:r>
      <w:r w:rsidRPr="002E2B26">
        <w:rPr>
          <w:rFonts w:ascii="Arial" w:hAnsi="Arial" w:cs="Arial"/>
          <w:noProof/>
          <w:sz w:val="22"/>
          <w:szCs w:val="22"/>
        </w:rPr>
        <w:t xml:space="preserve"> 193–197 (2019).</w:t>
      </w:r>
    </w:p>
    <w:p w14:paraId="311BECA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Koob, G. F. &amp; Volkow, N. D. Neurocircuitry of addiction.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Neuropsychopharmacology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35,</w:t>
      </w:r>
      <w:r w:rsidRPr="002E2B26">
        <w:rPr>
          <w:rFonts w:ascii="Arial" w:hAnsi="Arial" w:cs="Arial"/>
          <w:noProof/>
          <w:sz w:val="22"/>
          <w:szCs w:val="22"/>
        </w:rPr>
        <w:t xml:space="preserve"> 217–238 (2010).</w:t>
      </w:r>
    </w:p>
    <w:p w14:paraId="1752D694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Ikemoto, S. &amp; Bonci, A. Neurocircuitry of drug reward.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Neuropharmacology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76 Pt B,</w:t>
      </w:r>
      <w:r w:rsidRPr="002E2B26">
        <w:rPr>
          <w:rFonts w:ascii="Arial" w:hAnsi="Arial" w:cs="Arial"/>
          <w:noProof/>
          <w:sz w:val="22"/>
          <w:szCs w:val="22"/>
        </w:rPr>
        <w:t xml:space="preserve"> 329–341 (2014).</w:t>
      </w:r>
    </w:p>
    <w:p w14:paraId="5FFEB4AB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Salgado, S. &amp; Kaplitt, M. G. The nucleus accumbens: A comprehensive review.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Stereotact Funct Neurosurg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93,</w:t>
      </w:r>
      <w:r w:rsidRPr="002E2B26">
        <w:rPr>
          <w:rFonts w:ascii="Arial" w:hAnsi="Arial" w:cs="Arial"/>
          <w:noProof/>
          <w:sz w:val="22"/>
          <w:szCs w:val="22"/>
        </w:rPr>
        <w:t xml:space="preserve"> 75–93 (2015).</w:t>
      </w:r>
    </w:p>
    <w:p w14:paraId="4965FA3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Hong, S.-I., Kang, S., Chen, J.-F. &amp; Choi, D.-S. Indirect Medium Spiny Neurons in the Dorsomedial Striatum Regulate Ethanol-Containing Conditioned Reward Seeking.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J.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39,</w:t>
      </w:r>
      <w:r w:rsidRPr="002E2B26">
        <w:rPr>
          <w:rFonts w:ascii="Arial" w:hAnsi="Arial" w:cs="Arial"/>
          <w:noProof/>
          <w:sz w:val="22"/>
          <w:szCs w:val="22"/>
        </w:rPr>
        <w:t xml:space="preserve"> 7206–7217 (2019).</w:t>
      </w:r>
    </w:p>
    <w:p w14:paraId="683CA748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Golden, S. 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Nucleus Accumbens Drd1-Expressing Neurons Control Aggression Self-Administration and Aggression Seeking in Mice.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J.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39,</w:t>
      </w:r>
      <w:r w:rsidRPr="002E2B26">
        <w:rPr>
          <w:rFonts w:ascii="Arial" w:hAnsi="Arial" w:cs="Arial"/>
          <w:noProof/>
          <w:sz w:val="22"/>
          <w:szCs w:val="22"/>
        </w:rPr>
        <w:t xml:space="preserve"> 2482–2496 (2019).</w:t>
      </w:r>
    </w:p>
    <w:p w14:paraId="79EA61C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Wang, X.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Parvalbumin Interneurons of the Mouse Nucleus Accumbens are Required For Amphetamine-Induced Locomotor Sensitization and Conditioned Place Preference.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Neuropsychopharmacology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43,</w:t>
      </w:r>
      <w:r w:rsidRPr="002E2B26">
        <w:rPr>
          <w:rFonts w:ascii="Arial" w:hAnsi="Arial" w:cs="Arial"/>
          <w:noProof/>
          <w:sz w:val="22"/>
          <w:szCs w:val="22"/>
        </w:rPr>
        <w:t xml:space="preserve"> 953–963 (2018).</w:t>
      </w:r>
    </w:p>
    <w:p w14:paraId="2FB6DDD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69.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Ribeiro, E. 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Transcriptional and physiological adaptations in nucleus accumbens somatostatin interneurons that regulate behavioral responses to cocaine.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Commun.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9,</w:t>
      </w:r>
      <w:r w:rsidRPr="002E2B26">
        <w:rPr>
          <w:rFonts w:ascii="Arial" w:hAnsi="Arial" w:cs="Arial"/>
          <w:noProof/>
          <w:sz w:val="22"/>
          <w:szCs w:val="22"/>
        </w:rPr>
        <w:t xml:space="preserve"> 3149 (2018).</w:t>
      </w:r>
    </w:p>
    <w:p w14:paraId="1569A8B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Bracci, E., Centonze, D., Bernardi, G. &amp; Calabresi, P. Dopamine excites fast-spiking interneurons in the striatum.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J. Neurophysiol.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87,</w:t>
      </w:r>
      <w:r w:rsidRPr="002E2B26">
        <w:rPr>
          <w:rFonts w:ascii="Arial" w:hAnsi="Arial" w:cs="Arial"/>
          <w:noProof/>
          <w:sz w:val="22"/>
          <w:szCs w:val="22"/>
        </w:rPr>
        <w:t xml:space="preserve"> 2190–2194 (2002).</w:t>
      </w:r>
    </w:p>
    <w:p w14:paraId="117A815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Lansink, C. S., Goltstein, P. M., Lankelma, J. V. &amp; Pennartz, C. M. A. Fast-spiking interneurons of the rat ventral striatum: temporal coordination of activity with principal cells and responsiveness to reward.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Eur. J.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32,</w:t>
      </w:r>
      <w:r w:rsidRPr="002E2B26">
        <w:rPr>
          <w:rFonts w:ascii="Arial" w:hAnsi="Arial" w:cs="Arial"/>
          <w:noProof/>
          <w:sz w:val="22"/>
          <w:szCs w:val="22"/>
        </w:rPr>
        <w:t xml:space="preserve"> 494–508 (2010).</w:t>
      </w:r>
    </w:p>
    <w:p w14:paraId="23C0F964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Wiltschko, A. B., Pettibone, J. R. &amp; Berke, J. D. Opposite effects of stimulant and antipsychotic drugs on striatal fast-spiking interneurons.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Neuropsychopharmacology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35,</w:t>
      </w:r>
      <w:r w:rsidRPr="002E2B26">
        <w:rPr>
          <w:rFonts w:ascii="Arial" w:hAnsi="Arial" w:cs="Arial"/>
          <w:noProof/>
          <w:sz w:val="22"/>
          <w:szCs w:val="22"/>
        </w:rPr>
        <w:t xml:space="preserve"> 1261–1270 (2010).</w:t>
      </w:r>
    </w:p>
    <w:p w14:paraId="3D2C44CC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Seney, 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Transcriptional alterations in opioid use disorder reveal an interplay between neuroinflammation and synaptic remodeling.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doi:10.1101/2020.09.14.296707</w:t>
      </w:r>
    </w:p>
    <w:p w14:paraId="66582D4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Kendler, K. S. &amp; Prescott, C. A. Cannabis use, abuse, and dependence in a population-based sample of female twins.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Am. J.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155,</w:t>
      </w:r>
      <w:r w:rsidRPr="002E2B26">
        <w:rPr>
          <w:rFonts w:ascii="Arial" w:hAnsi="Arial" w:cs="Arial"/>
          <w:noProof/>
          <w:sz w:val="22"/>
          <w:szCs w:val="22"/>
        </w:rPr>
        <w:t xml:space="preserve"> 1016–1022 (1998).</w:t>
      </w:r>
    </w:p>
    <w:p w14:paraId="5FCE27E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Kendler, K. S. &amp; Prescott, C. A. Cocaine use, abuse and dependence in a population-based sample of female twins.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Br. J.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173,</w:t>
      </w:r>
      <w:r w:rsidRPr="002E2B26">
        <w:rPr>
          <w:rFonts w:ascii="Arial" w:hAnsi="Arial" w:cs="Arial"/>
          <w:noProof/>
          <w:sz w:val="22"/>
          <w:szCs w:val="22"/>
        </w:rPr>
        <w:t xml:space="preserve"> 345–350 (1998).</w:t>
      </w:r>
    </w:p>
    <w:p w14:paraId="02DEAA3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Erzurumluoglu, A. 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Meta-analysis of up to 622,409 individuals identifies 40 novel smoking behaviour associated genetic loci.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Mol.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(2019). doi:10.1038/s41380-018-0313-0</w:t>
      </w:r>
    </w:p>
    <w:p w14:paraId="33347771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Liu, 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Association studies of up to 1.2 million individuals yield new insights into the genetic etiology of tobacco and alcohol use.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51,</w:t>
      </w:r>
      <w:r w:rsidRPr="002E2B26">
        <w:rPr>
          <w:rFonts w:ascii="Arial" w:hAnsi="Arial" w:cs="Arial"/>
          <w:noProof/>
          <w:sz w:val="22"/>
          <w:szCs w:val="22"/>
        </w:rPr>
        <w:t xml:space="preserve"> 237–244 (2019).</w:t>
      </w:r>
    </w:p>
    <w:p w14:paraId="7ED6E8C4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Cheng, Z.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Genome-wide Association Study Identifies a Regulatory Variant of RGMA Associated </w:t>
      </w:r>
      <w:r w:rsidRPr="002E2B26">
        <w:rPr>
          <w:rFonts w:ascii="Arial" w:hAnsi="Arial" w:cs="Arial"/>
          <w:noProof/>
          <w:sz w:val="22"/>
          <w:szCs w:val="22"/>
        </w:rPr>
        <w:lastRenderedPageBreak/>
        <w:t xml:space="preserve">With Opioid Dependence in European Americans.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Biol.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84,</w:t>
      </w:r>
      <w:r w:rsidRPr="002E2B26">
        <w:rPr>
          <w:rFonts w:ascii="Arial" w:hAnsi="Arial" w:cs="Arial"/>
          <w:noProof/>
          <w:sz w:val="22"/>
          <w:szCs w:val="22"/>
        </w:rPr>
        <w:t xml:space="preserve"> 762–770 (2018).</w:t>
      </w:r>
    </w:p>
    <w:p w14:paraId="15AC9952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79.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Cabana-Domínguez, J., Shivalikanjli, A., Fernàndez-Castillo, N. &amp; Cormand, B. Genome-wide association meta-analysis of cocaine dependence: Shared genetics with comorbid conditions.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Prog. Neuropsychopharmacol. Biol.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94,</w:t>
      </w:r>
      <w:r w:rsidRPr="002E2B26">
        <w:rPr>
          <w:rFonts w:ascii="Arial" w:hAnsi="Arial" w:cs="Arial"/>
          <w:noProof/>
          <w:sz w:val="22"/>
          <w:szCs w:val="22"/>
        </w:rPr>
        <w:t xml:space="preserve"> 109667 (2019).</w:t>
      </w:r>
    </w:p>
    <w:p w14:paraId="1982AAD8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Kalsi, G.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Genome-Wide Association of Heroin Dependence in Han Chinese.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PLoS One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11,</w:t>
      </w:r>
      <w:r w:rsidRPr="002E2B26">
        <w:rPr>
          <w:rFonts w:ascii="Arial" w:hAnsi="Arial" w:cs="Arial"/>
          <w:noProof/>
          <w:sz w:val="22"/>
          <w:szCs w:val="22"/>
        </w:rPr>
        <w:t xml:space="preserve"> e0167388 (2016).</w:t>
      </w:r>
    </w:p>
    <w:p w14:paraId="44E0E1F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Kranzler, H. R.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Genome-wide association study of alcohol consumption and use disorder in 274,424 individuals from multiple populations.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Commun.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10,</w:t>
      </w:r>
      <w:r w:rsidRPr="002E2B26">
        <w:rPr>
          <w:rFonts w:ascii="Arial" w:hAnsi="Arial" w:cs="Arial"/>
          <w:noProof/>
          <w:sz w:val="22"/>
          <w:szCs w:val="22"/>
        </w:rPr>
        <w:t xml:space="preserve"> 1499 (2019).</w:t>
      </w:r>
    </w:p>
    <w:p w14:paraId="02494468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Hodge, R. D.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Conserved cell types with divergent features in human versus mouse cortex.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Nature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573,</w:t>
      </w:r>
      <w:r w:rsidRPr="002E2B26">
        <w:rPr>
          <w:rFonts w:ascii="Arial" w:hAnsi="Arial" w:cs="Arial"/>
          <w:noProof/>
          <w:sz w:val="22"/>
          <w:szCs w:val="22"/>
        </w:rPr>
        <w:t xml:space="preserve"> 61–68 (2019).</w:t>
      </w:r>
    </w:p>
    <w:p w14:paraId="4FD1F96F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Xu, X.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Species and cell-type properties of classically defined human and rodent neurons and glia.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Elife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7,</w:t>
      </w:r>
      <w:r w:rsidRPr="002E2B26">
        <w:rPr>
          <w:rFonts w:ascii="Arial" w:hAnsi="Arial" w:cs="Arial"/>
          <w:noProof/>
          <w:sz w:val="22"/>
          <w:szCs w:val="22"/>
        </w:rPr>
        <w:t xml:space="preserve"> (2018).</w:t>
      </w:r>
    </w:p>
    <w:p w14:paraId="455B053F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Bakken, T. 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Evolution of cellular diversity in primary motor cortex of human, marmoset monkey, and mouse.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doi:10.1101/2020.03.31.016972</w:t>
      </w:r>
    </w:p>
    <w:p w14:paraId="4FE51E4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Krienen, F. 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Innovations present in the primate interneuron repertoire.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Nature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586,</w:t>
      </w:r>
      <w:r w:rsidRPr="002E2B26">
        <w:rPr>
          <w:rFonts w:ascii="Arial" w:hAnsi="Arial" w:cs="Arial"/>
          <w:noProof/>
          <w:sz w:val="22"/>
          <w:szCs w:val="22"/>
        </w:rPr>
        <w:t xml:space="preserve"> 262–269 (2020).</w:t>
      </w:r>
    </w:p>
    <w:p w14:paraId="23C73BD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Gallagher, M. D. &amp; Chen-Plotkin, A. S. The Post-GWAS Era: From Association to Function.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Am. J. Hum.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102,</w:t>
      </w:r>
      <w:r w:rsidRPr="002E2B26">
        <w:rPr>
          <w:rFonts w:ascii="Arial" w:hAnsi="Arial" w:cs="Arial"/>
          <w:noProof/>
          <w:sz w:val="22"/>
          <w:szCs w:val="22"/>
        </w:rPr>
        <w:t xml:space="preserve"> 717–730 (2018).</w:t>
      </w:r>
    </w:p>
    <w:p w14:paraId="2D4FB432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Edwards, S. L., Beesley, J., French, J. D. &amp; Dunning, A. M. Beyond GWASs: illuminating the dark road from association to function.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Am. J. Hum.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93,</w:t>
      </w:r>
      <w:r w:rsidRPr="002E2B26">
        <w:rPr>
          <w:rFonts w:ascii="Arial" w:hAnsi="Arial" w:cs="Arial"/>
          <w:noProof/>
          <w:sz w:val="22"/>
          <w:szCs w:val="22"/>
        </w:rPr>
        <w:t xml:space="preserve"> 779–797 (2013).</w:t>
      </w:r>
    </w:p>
    <w:p w14:paraId="65C0BD20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Schaub, M. A., Boyle, A. P., Kundaje, A., Batzoglou, S. &amp; Snyder, M. Linking disease associations with regulatory information in the human genome.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Genome Res.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22,</w:t>
      </w:r>
      <w:r w:rsidRPr="002E2B26">
        <w:rPr>
          <w:rFonts w:ascii="Arial" w:hAnsi="Arial" w:cs="Arial"/>
          <w:noProof/>
          <w:sz w:val="22"/>
          <w:szCs w:val="22"/>
        </w:rPr>
        <w:t xml:space="preserve"> 1748–1759 (2012).</w:t>
      </w:r>
    </w:p>
    <w:p w14:paraId="2E24621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89.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Nestler, E. J. &amp; Lüscher, C. The molecular basis of drug addiction: linking epigenetic to synaptic and circuit mechanisms.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Neuron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102,</w:t>
      </w:r>
      <w:r w:rsidRPr="002E2B26">
        <w:rPr>
          <w:rFonts w:ascii="Arial" w:hAnsi="Arial" w:cs="Arial"/>
          <w:noProof/>
          <w:sz w:val="22"/>
          <w:szCs w:val="22"/>
        </w:rPr>
        <w:t xml:space="preserve"> 48–59 (2019).</w:t>
      </w:r>
    </w:p>
    <w:p w14:paraId="44D41B0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Hamilton, P. J. &amp; Nestler, E. J. Epigenetics and addiction.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Curr. Opin. Neurobiol.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59,</w:t>
      </w:r>
      <w:r w:rsidRPr="002E2B26">
        <w:rPr>
          <w:rFonts w:ascii="Arial" w:hAnsi="Arial" w:cs="Arial"/>
          <w:noProof/>
          <w:sz w:val="22"/>
          <w:szCs w:val="22"/>
        </w:rPr>
        <w:t xml:space="preserve"> 128–136 (2019).</w:t>
      </w:r>
    </w:p>
    <w:p w14:paraId="181D62AA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Walker, D. M. &amp; Nestler, E. J. Neuroepigenetics and addiction.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Handb Clin Neurol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148,</w:t>
      </w:r>
      <w:r w:rsidRPr="002E2B26">
        <w:rPr>
          <w:rFonts w:ascii="Arial" w:hAnsi="Arial" w:cs="Arial"/>
          <w:noProof/>
          <w:sz w:val="22"/>
          <w:szCs w:val="22"/>
        </w:rPr>
        <w:t xml:space="preserve"> 747–765 (2018).</w:t>
      </w:r>
    </w:p>
    <w:p w14:paraId="3A5ED10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Robison, A. J. &amp; Nestler, E. J. Transcriptional and epigenetic mechanisms of addiction.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Rev.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12,</w:t>
      </w:r>
      <w:r w:rsidRPr="002E2B26">
        <w:rPr>
          <w:rFonts w:ascii="Arial" w:hAnsi="Arial" w:cs="Arial"/>
          <w:noProof/>
          <w:sz w:val="22"/>
          <w:szCs w:val="22"/>
        </w:rPr>
        <w:t xml:space="preserve"> 623–637 (2011).</w:t>
      </w:r>
    </w:p>
    <w:p w14:paraId="6286A98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Zoonomia Consortium. A comparative genomics multitool for scientific discovery and conservation.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Nature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587,</w:t>
      </w:r>
      <w:r w:rsidRPr="002E2B26">
        <w:rPr>
          <w:rFonts w:ascii="Arial" w:hAnsi="Arial" w:cs="Arial"/>
          <w:noProof/>
          <w:sz w:val="22"/>
          <w:szCs w:val="22"/>
        </w:rPr>
        <w:t xml:space="preserve"> 240–245 (2020).</w:t>
      </w:r>
    </w:p>
    <w:p w14:paraId="632276A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Zhou, H.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In vivo simultaneous transcriptional activation of multiple genes in the brain using CRISPR-dCas9-activator transgenic mice.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21,</w:t>
      </w:r>
      <w:r w:rsidRPr="002E2B26">
        <w:rPr>
          <w:rFonts w:ascii="Arial" w:hAnsi="Arial" w:cs="Arial"/>
          <w:noProof/>
          <w:sz w:val="22"/>
          <w:szCs w:val="22"/>
        </w:rPr>
        <w:t xml:space="preserve"> 440–446 (2018).</w:t>
      </w:r>
    </w:p>
    <w:p w14:paraId="3C2F0A5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Volkow, N. D.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Decreased striatal dopaminergic responsiveness in detoxified cocaine-dependent subjects.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Nature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386,</w:t>
      </w:r>
      <w:r w:rsidRPr="002E2B26">
        <w:rPr>
          <w:rFonts w:ascii="Arial" w:hAnsi="Arial" w:cs="Arial"/>
          <w:noProof/>
          <w:sz w:val="22"/>
          <w:szCs w:val="22"/>
        </w:rPr>
        <w:t xml:space="preserve"> 830–833 (1997).</w:t>
      </w:r>
    </w:p>
    <w:p w14:paraId="73AC500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Volkow, N. D.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Decreases in dopamine receptors but not in dopamine transporters in alcoholics.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Alcohol. Clin. Exp. Res.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20,</w:t>
      </w:r>
      <w:r w:rsidRPr="002E2B26">
        <w:rPr>
          <w:rFonts w:ascii="Arial" w:hAnsi="Arial" w:cs="Arial"/>
          <w:noProof/>
          <w:sz w:val="22"/>
          <w:szCs w:val="22"/>
        </w:rPr>
        <w:t xml:space="preserve"> 1594–1598 (1996).</w:t>
      </w:r>
    </w:p>
    <w:p w14:paraId="3486B44C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Wang, G. J.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Dopamine D2 receptor availability in opiate-dependent subjects before and after naloxone-precipitated withdrawal.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Neuropsychopharmacology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16,</w:t>
      </w:r>
      <w:r w:rsidRPr="002E2B26">
        <w:rPr>
          <w:rFonts w:ascii="Arial" w:hAnsi="Arial" w:cs="Arial"/>
          <w:noProof/>
          <w:sz w:val="22"/>
          <w:szCs w:val="22"/>
        </w:rPr>
        <w:t xml:space="preserve"> 174–182 (1997).</w:t>
      </w:r>
    </w:p>
    <w:p w14:paraId="2EBF916A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Volkow, N. D.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Low level of brain dopamine d</w:t>
      </w:r>
      <w:r w:rsidRPr="002E2B2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E2B26">
        <w:rPr>
          <w:rFonts w:ascii="Arial" w:hAnsi="Arial" w:cs="Arial"/>
          <w:noProof/>
          <w:sz w:val="22"/>
          <w:szCs w:val="22"/>
        </w:rPr>
        <w:t xml:space="preserve"> receptors in methamphetamine abusers: association with metabolism in the orbitofrontal cortex.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Focus (Madison)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1,</w:t>
      </w:r>
      <w:r w:rsidRPr="002E2B26">
        <w:rPr>
          <w:rFonts w:ascii="Arial" w:hAnsi="Arial" w:cs="Arial"/>
          <w:noProof/>
          <w:sz w:val="22"/>
          <w:szCs w:val="22"/>
        </w:rPr>
        <w:t xml:space="preserve"> 150–157 (2003).</w:t>
      </w:r>
    </w:p>
    <w:p w14:paraId="063A6621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99.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Charbogne, P., Kieffer, B. L. &amp; Befort, K. 15 years of genetic approaches in vivo for addiction research: Opioid receptor and peptide gene knockout in mouse models of drug abuse.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Neuropharmacology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76 Pt B,</w:t>
      </w:r>
      <w:r w:rsidRPr="002E2B26">
        <w:rPr>
          <w:rFonts w:ascii="Arial" w:hAnsi="Arial" w:cs="Arial"/>
          <w:noProof/>
          <w:sz w:val="22"/>
          <w:szCs w:val="22"/>
        </w:rPr>
        <w:t xml:space="preserve"> 204–217 (2014).</w:t>
      </w:r>
    </w:p>
    <w:p w14:paraId="096CB292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100.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Lynch, W. J., Nicholson, K. L., Dance, M. E., Morgan, R. W. &amp; Foley, P. L. Animal models of substance abuse and addiction: implications for science, animal welfare, and society.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Comp Med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60,</w:t>
      </w:r>
      <w:r w:rsidRPr="002E2B26">
        <w:rPr>
          <w:rFonts w:ascii="Arial" w:hAnsi="Arial" w:cs="Arial"/>
          <w:noProof/>
          <w:sz w:val="22"/>
          <w:szCs w:val="22"/>
        </w:rPr>
        <w:t xml:space="preserve"> 177–188 (2010).</w:t>
      </w:r>
    </w:p>
    <w:p w14:paraId="2A0B2F7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101.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Farrell, M. R., Schoch, H. &amp; Mahler, S. V. Modeling cocaine relapse in rodents: Behavioral considerations and circuit mechanisms.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Prog. Neuropsychopharmacol. Biol. Psychiatry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87,</w:t>
      </w:r>
      <w:r w:rsidRPr="002E2B26">
        <w:rPr>
          <w:rFonts w:ascii="Arial" w:hAnsi="Arial" w:cs="Arial"/>
          <w:noProof/>
          <w:sz w:val="22"/>
          <w:szCs w:val="22"/>
        </w:rPr>
        <w:t xml:space="preserve"> 33–47 (2018).</w:t>
      </w:r>
    </w:p>
    <w:p w14:paraId="0A2859A0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102.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Svensson, V.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Power analysis of single-cell RNA-sequencing experiments.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Methods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14,</w:t>
      </w:r>
      <w:r w:rsidRPr="002E2B26">
        <w:rPr>
          <w:rFonts w:ascii="Arial" w:hAnsi="Arial" w:cs="Arial"/>
          <w:noProof/>
          <w:sz w:val="22"/>
          <w:szCs w:val="22"/>
        </w:rPr>
        <w:t xml:space="preserve"> 381–387 (2017).</w:t>
      </w:r>
    </w:p>
    <w:p w14:paraId="4902F27E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103.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Parsana, P.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Addressing confounding artifacts in reconstruction of gene co-expression networks.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Genome Biol.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20,</w:t>
      </w:r>
      <w:r w:rsidRPr="002E2B26">
        <w:rPr>
          <w:rFonts w:ascii="Arial" w:hAnsi="Arial" w:cs="Arial"/>
          <w:noProof/>
          <w:sz w:val="22"/>
          <w:szCs w:val="22"/>
        </w:rPr>
        <w:t xml:space="preserve"> 94 (2019).</w:t>
      </w:r>
    </w:p>
    <w:p w14:paraId="111D9B6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104.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McCall, M. N., Illei, P. B. &amp; Halushka, M. K. Complex sources of variation in tissue expression data: analysis of the gtex lung transcriptome.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Am. J. Hum.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99,</w:t>
      </w:r>
      <w:r w:rsidRPr="002E2B26">
        <w:rPr>
          <w:rFonts w:ascii="Arial" w:hAnsi="Arial" w:cs="Arial"/>
          <w:noProof/>
          <w:sz w:val="22"/>
          <w:szCs w:val="22"/>
        </w:rPr>
        <w:t xml:space="preserve"> 624–635 (2016).</w:t>
      </w:r>
    </w:p>
    <w:p w14:paraId="37E05B4C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105.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Habib, 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Massively parallel single-nucleus RNA-seq with DroNc-seq.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Methods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14,</w:t>
      </w:r>
      <w:r w:rsidRPr="002E2B26">
        <w:rPr>
          <w:rFonts w:ascii="Arial" w:hAnsi="Arial" w:cs="Arial"/>
          <w:noProof/>
          <w:sz w:val="22"/>
          <w:szCs w:val="22"/>
        </w:rPr>
        <w:t xml:space="preserve"> 955–958 (2017).</w:t>
      </w:r>
    </w:p>
    <w:p w14:paraId="351B3D04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lastRenderedPageBreak/>
        <w:t>106.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Welch, J.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Integrative inference of brain cell similarities and differences from single-cell genomics.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(2018). doi:10.1101/459891</w:t>
      </w:r>
    </w:p>
    <w:p w14:paraId="7100841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107.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Kiselev, V. 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SC3: consensus clustering of single-cell RNA-seq data.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Methods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14,</w:t>
      </w:r>
      <w:r w:rsidRPr="002E2B26">
        <w:rPr>
          <w:rFonts w:ascii="Arial" w:hAnsi="Arial" w:cs="Arial"/>
          <w:noProof/>
          <w:sz w:val="22"/>
          <w:szCs w:val="22"/>
        </w:rPr>
        <w:t xml:space="preserve"> 483–486 (2017).</w:t>
      </w:r>
    </w:p>
    <w:p w14:paraId="3BD844B1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108.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Tibshirani, R. Regression shrinkage and selection via the lasso.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Journal of the Royal Statistical Society: Series B (Methodological)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58,</w:t>
      </w:r>
      <w:r w:rsidRPr="002E2B26">
        <w:rPr>
          <w:rFonts w:ascii="Arial" w:hAnsi="Arial" w:cs="Arial"/>
          <w:noProof/>
          <w:sz w:val="22"/>
          <w:szCs w:val="22"/>
        </w:rPr>
        <w:t xml:space="preserve"> 267–288 (1996).</w:t>
      </w:r>
    </w:p>
    <w:p w14:paraId="72D0082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109.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Duane, S., Kennedy, A. D., Pendleton, B. J. &amp; Roweth, D. Hybrid Monte Carlo.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Physics Letters B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195,</w:t>
      </w:r>
      <w:r w:rsidRPr="002E2B26">
        <w:rPr>
          <w:rFonts w:ascii="Arial" w:hAnsi="Arial" w:cs="Arial"/>
          <w:noProof/>
          <w:sz w:val="22"/>
          <w:szCs w:val="22"/>
        </w:rPr>
        <w:t xml:space="preserve"> 216–222 (1987).</w:t>
      </w:r>
    </w:p>
    <w:p w14:paraId="31D58F71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Xiao, J., Cao, H. &amp; Chen, J. False discovery rate control incorporating phylogenetic tree increases detection power in microbiome-wide multiple testing.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Bioinformatics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33,</w:t>
      </w:r>
      <w:r w:rsidRPr="002E2B26">
        <w:rPr>
          <w:rFonts w:ascii="Arial" w:hAnsi="Arial" w:cs="Arial"/>
          <w:noProof/>
          <w:sz w:val="22"/>
          <w:szCs w:val="22"/>
        </w:rPr>
        <w:t xml:space="preserve"> 2873–2881 (2017).</w:t>
      </w:r>
    </w:p>
    <w:p w14:paraId="68ECC2C8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Saunders, 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Molecular Diversity and Specializations among the Cells of the Adult Mouse Brain.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Cell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174,</w:t>
      </w:r>
      <w:r w:rsidRPr="002E2B26">
        <w:rPr>
          <w:rFonts w:ascii="Arial" w:hAnsi="Arial" w:cs="Arial"/>
          <w:noProof/>
          <w:sz w:val="22"/>
          <w:szCs w:val="22"/>
        </w:rPr>
        <w:t xml:space="preserve"> 1015–1030.e16 (2018).</w:t>
      </w:r>
    </w:p>
    <w:p w14:paraId="5DF95F9A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Wolock, S. L., Lopez, R. &amp; Klein, A. M. Scrublet: Computational Identification of Cell Doublets in Single-Cell Transcriptomic Data.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Cell Syst.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8,</w:t>
      </w:r>
      <w:r w:rsidRPr="002E2B26">
        <w:rPr>
          <w:rFonts w:ascii="Arial" w:hAnsi="Arial" w:cs="Arial"/>
          <w:noProof/>
          <w:sz w:val="22"/>
          <w:szCs w:val="22"/>
        </w:rPr>
        <w:t xml:space="preserve"> 281–291.e9 (2019).</w:t>
      </w:r>
    </w:p>
    <w:p w14:paraId="42D574D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van Dijk, D.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Recovering Gene Interactions from Single-Cell Data Using Data Diffusion.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Cell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174,</w:t>
      </w:r>
      <w:r w:rsidRPr="002E2B26">
        <w:rPr>
          <w:rFonts w:ascii="Arial" w:hAnsi="Arial" w:cs="Arial"/>
          <w:noProof/>
          <w:sz w:val="22"/>
          <w:szCs w:val="22"/>
        </w:rPr>
        <w:t xml:space="preserve"> 716–729.e27 (2018).</w:t>
      </w:r>
    </w:p>
    <w:p w14:paraId="11EFD9B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Lun, A. T. L., Bach, K. &amp; Marioni, J. C. Pooling across cells to normalize single-cell RNA sequencing data with many zero counts.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Genome Biol.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17,</w:t>
      </w:r>
      <w:r w:rsidRPr="002E2B26">
        <w:rPr>
          <w:rFonts w:ascii="Arial" w:hAnsi="Arial" w:cs="Arial"/>
          <w:noProof/>
          <w:sz w:val="22"/>
          <w:szCs w:val="22"/>
        </w:rPr>
        <w:t xml:space="preserve"> 75 (2016).</w:t>
      </w:r>
    </w:p>
    <w:p w14:paraId="397FD5C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Gong, W., Kwak, I.-Y., Pota, P., Koyano-Nakagawa, N. &amp; Garry, D. J. DrImpute: imputing dropout events in single cell RNA sequencing data.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BMC Bioinformatics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19,</w:t>
      </w:r>
      <w:r w:rsidRPr="002E2B26">
        <w:rPr>
          <w:rFonts w:ascii="Arial" w:hAnsi="Arial" w:cs="Arial"/>
          <w:noProof/>
          <w:sz w:val="22"/>
          <w:szCs w:val="22"/>
        </w:rPr>
        <w:t xml:space="preserve"> 220 (2018).</w:t>
      </w:r>
    </w:p>
    <w:p w14:paraId="7839627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Polański, K.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BBKNN: fast batch alignment of single cell transcriptomes.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Bioinformatics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36,</w:t>
      </w:r>
      <w:r w:rsidRPr="002E2B26">
        <w:rPr>
          <w:rFonts w:ascii="Arial" w:hAnsi="Arial" w:cs="Arial"/>
          <w:noProof/>
          <w:sz w:val="22"/>
          <w:szCs w:val="22"/>
        </w:rPr>
        <w:t xml:space="preserve"> 964–965 (2020).</w:t>
      </w:r>
    </w:p>
    <w:p w14:paraId="4C83AFB9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Mohammadi, S., Davila-Velderrain, J. &amp; Kellis, M. A multiresolution framework to characterize single-cell state landscapes.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Commun.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11,</w:t>
      </w:r>
      <w:r w:rsidRPr="002E2B26">
        <w:rPr>
          <w:rFonts w:ascii="Arial" w:hAnsi="Arial" w:cs="Arial"/>
          <w:noProof/>
          <w:sz w:val="22"/>
          <w:szCs w:val="22"/>
        </w:rPr>
        <w:t xml:space="preserve"> 5399 (2020).</w:t>
      </w:r>
    </w:p>
    <w:p w14:paraId="72F9181B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Love, M. I., Huber, W. &amp; Anders, S. Moderated estimation of fold change and dispersion for RNA-seq data with DESeq2.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Genome Biol.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15,</w:t>
      </w:r>
      <w:r w:rsidRPr="002E2B26">
        <w:rPr>
          <w:rFonts w:ascii="Arial" w:hAnsi="Arial" w:cs="Arial"/>
          <w:noProof/>
          <w:sz w:val="22"/>
          <w:szCs w:val="22"/>
        </w:rPr>
        <w:t xml:space="preserve"> 550–550 (2014).</w:t>
      </w:r>
    </w:p>
    <w:p w14:paraId="591EC416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119.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Ritchie, M. 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limma powers differential expression analyses for RNA-sequencing and microarray studies.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Nucleic Acids Res.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43,</w:t>
      </w:r>
      <w:r w:rsidRPr="002E2B26">
        <w:rPr>
          <w:rFonts w:ascii="Arial" w:hAnsi="Arial" w:cs="Arial"/>
          <w:noProof/>
          <w:sz w:val="22"/>
          <w:szCs w:val="22"/>
        </w:rPr>
        <w:t xml:space="preserve"> e47 (2015).</w:t>
      </w:r>
    </w:p>
    <w:p w14:paraId="0C5558A3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Bulik-Sullivan, B.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LD Score regression distinguishes confounding from polygenicity in genome-wide association studies.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47,</w:t>
      </w:r>
      <w:r w:rsidRPr="002E2B26">
        <w:rPr>
          <w:rFonts w:ascii="Arial" w:hAnsi="Arial" w:cs="Arial"/>
          <w:noProof/>
          <w:sz w:val="22"/>
          <w:szCs w:val="22"/>
        </w:rPr>
        <w:t xml:space="preserve"> 291–295 (2015).</w:t>
      </w:r>
    </w:p>
    <w:p w14:paraId="4136141F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Finucane, H. K.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Heritability enrichment of specifically expressed genes identifies disease-relevant tissues and cell types.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50,</w:t>
      </w:r>
      <w:r w:rsidRPr="002E2B26">
        <w:rPr>
          <w:rFonts w:ascii="Arial" w:hAnsi="Arial" w:cs="Arial"/>
          <w:noProof/>
          <w:sz w:val="22"/>
          <w:szCs w:val="22"/>
        </w:rPr>
        <w:t xml:space="preserve"> 621–629 (2018).</w:t>
      </w:r>
    </w:p>
    <w:p w14:paraId="52AEB7DC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de Leeuw, C. A., Mooij, J. M., Heskes, T. &amp; Posthuma, D. MAGMA: generalized gene-set analysis of GWAS data.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PLoS Comput. Biol.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11,</w:t>
      </w:r>
      <w:r w:rsidRPr="002E2B26">
        <w:rPr>
          <w:rFonts w:ascii="Arial" w:hAnsi="Arial" w:cs="Arial"/>
          <w:noProof/>
          <w:sz w:val="22"/>
          <w:szCs w:val="22"/>
        </w:rPr>
        <w:t xml:space="preserve"> e1004219 (2015).</w:t>
      </w:r>
    </w:p>
    <w:p w14:paraId="13D0618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Sey, N. Y. 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A computational tool (H-MAGMA) for improved prediction of brain-disorder risk genes by incorporating brain chromatin interaction profiles.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23,</w:t>
      </w:r>
      <w:r w:rsidRPr="002E2B26">
        <w:rPr>
          <w:rFonts w:ascii="Arial" w:hAnsi="Arial" w:cs="Arial"/>
          <w:noProof/>
          <w:sz w:val="22"/>
          <w:szCs w:val="22"/>
        </w:rPr>
        <w:t xml:space="preserve"> 583–593 (2020).</w:t>
      </w:r>
    </w:p>
    <w:p w14:paraId="3C39E2B0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Timshel, P. N., Thompson, J. J. &amp; Pers, T. H. Genetic mapping of etiologic brain cell types for obesity.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Elife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9,</w:t>
      </w:r>
      <w:r w:rsidRPr="002E2B26">
        <w:rPr>
          <w:rFonts w:ascii="Arial" w:hAnsi="Arial" w:cs="Arial"/>
          <w:noProof/>
          <w:sz w:val="22"/>
          <w:szCs w:val="22"/>
        </w:rPr>
        <w:t xml:space="preserve"> (2020).</w:t>
      </w:r>
    </w:p>
    <w:p w14:paraId="13BA5CB2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Calderon, D.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Inferring Relevant Cell Types for Complex Traits by Using Single-Cell Gene Expression.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Am. J. Hum.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101,</w:t>
      </w:r>
      <w:r w:rsidRPr="002E2B26">
        <w:rPr>
          <w:rFonts w:ascii="Arial" w:hAnsi="Arial" w:cs="Arial"/>
          <w:noProof/>
          <w:sz w:val="22"/>
          <w:szCs w:val="22"/>
        </w:rPr>
        <w:t xml:space="preserve"> 686–699 (2017).</w:t>
      </w:r>
    </w:p>
    <w:p w14:paraId="6F82DB93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Corces, M. R.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Single-cell epigenomic analyses implicate candidate causal variants at inherited risk loci for Alzheimer’s and Parkinson’s diseases.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Genet.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52,</w:t>
      </w:r>
      <w:r w:rsidRPr="002E2B26">
        <w:rPr>
          <w:rFonts w:ascii="Arial" w:hAnsi="Arial" w:cs="Arial"/>
          <w:noProof/>
          <w:sz w:val="22"/>
          <w:szCs w:val="22"/>
        </w:rPr>
        <w:t xml:space="preserve"> 1158–1168 (2020).</w:t>
      </w:r>
    </w:p>
    <w:p w14:paraId="0A2E781D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Lawler, A. J.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Cell type-specific oxidative stress genomic signatures in the globus pallidus of dopamine depleted mice.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J. Neurosci.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doi:10.1523/JNEUROSCI.1634-20.2020</w:t>
      </w:r>
    </w:p>
    <w:p w14:paraId="33C29E9E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128.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Zhang, X., Kaplow, I. M., Wirthlin, M., Park, T. Y. &amp; Pfenning, A. R. HALPER facilitates the identification of regulatory element orthologs across species.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Bioinformatics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36,</w:t>
      </w:r>
      <w:r w:rsidRPr="002E2B26">
        <w:rPr>
          <w:rFonts w:ascii="Arial" w:hAnsi="Arial" w:cs="Arial"/>
          <w:noProof/>
          <w:sz w:val="22"/>
          <w:szCs w:val="22"/>
        </w:rPr>
        <w:t xml:space="preserve"> 4339–4340 (2020).</w:t>
      </w:r>
    </w:p>
    <w:p w14:paraId="4C4BE213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129.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Hickey, G., Paten, B., Earl, D., Zerbino, D. &amp; Haussler, D. HAL: a hierarchical format for storing and analyzing multiple genome alignments.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Bioinformatics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29,</w:t>
      </w:r>
      <w:r w:rsidRPr="002E2B26">
        <w:rPr>
          <w:rFonts w:ascii="Arial" w:hAnsi="Arial" w:cs="Arial"/>
          <w:noProof/>
          <w:sz w:val="22"/>
          <w:szCs w:val="22"/>
        </w:rPr>
        <w:t xml:space="preserve"> 1341–1342 (2013).</w:t>
      </w:r>
    </w:p>
    <w:p w14:paraId="162CC21B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130.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Paten, B.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Cactus: Algorithms for genome multiple sequence alignment.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Genome Res.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21,</w:t>
      </w:r>
      <w:r w:rsidRPr="002E2B26">
        <w:rPr>
          <w:rFonts w:ascii="Arial" w:hAnsi="Arial" w:cs="Arial"/>
          <w:noProof/>
          <w:sz w:val="22"/>
          <w:szCs w:val="22"/>
        </w:rPr>
        <w:t xml:space="preserve"> 1512–1528 (2011).</w:t>
      </w:r>
    </w:p>
    <w:p w14:paraId="4E1F390F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131.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Armstrong, J.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Progressive Cactus is a multiple-genome aligner for the thousand-genome era.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Nature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587,</w:t>
      </w:r>
      <w:r w:rsidRPr="002E2B26">
        <w:rPr>
          <w:rFonts w:ascii="Arial" w:hAnsi="Arial" w:cs="Arial"/>
          <w:noProof/>
          <w:sz w:val="22"/>
          <w:szCs w:val="22"/>
        </w:rPr>
        <w:t xml:space="preserve"> 246–251 (2020).</w:t>
      </w:r>
    </w:p>
    <w:p w14:paraId="1EDCD79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132.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Langmead, B. &amp; Salzberg, S. L. Fast gapped-read alignment with Bowtie 2.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Nat. Methods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9,</w:t>
      </w:r>
      <w:r w:rsidRPr="002E2B26">
        <w:rPr>
          <w:rFonts w:ascii="Arial" w:hAnsi="Arial" w:cs="Arial"/>
          <w:noProof/>
          <w:sz w:val="22"/>
          <w:szCs w:val="22"/>
        </w:rPr>
        <w:t xml:space="preserve"> 357–359 (2012).</w:t>
      </w:r>
    </w:p>
    <w:p w14:paraId="19472E85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133.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Granja, J. M.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ArchR: An integrative and scalable software package for single-cell chromatin accessibility analysis.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(2020). doi:10.1101/2020.04.28.066498</w:t>
      </w:r>
    </w:p>
    <w:p w14:paraId="5AD0716B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lastRenderedPageBreak/>
        <w:t>134.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Zhang, Y.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Model-based analysis of ChIP-Seq (MACS).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Genome Biol.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9,</w:t>
      </w:r>
      <w:r w:rsidRPr="002E2B26">
        <w:rPr>
          <w:rFonts w:ascii="Arial" w:hAnsi="Arial" w:cs="Arial"/>
          <w:noProof/>
          <w:sz w:val="22"/>
          <w:szCs w:val="22"/>
        </w:rPr>
        <w:t xml:space="preserve"> R137 (2008).</w:t>
      </w:r>
    </w:p>
    <w:p w14:paraId="099BEC31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135.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Li, Z.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scOpen: chromatin-accessibility estimation of single-cell ATAC data.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BioRxiv</w:t>
      </w:r>
      <w:r w:rsidRPr="002E2B26">
        <w:rPr>
          <w:rFonts w:ascii="Arial" w:hAnsi="Arial" w:cs="Arial"/>
          <w:noProof/>
          <w:sz w:val="22"/>
          <w:szCs w:val="22"/>
        </w:rPr>
        <w:t xml:space="preserve"> (2019). doi:10.1101/865931</w:t>
      </w:r>
    </w:p>
    <w:p w14:paraId="3DC0D0DE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136.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Pliner, H. 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2E2B26">
        <w:rPr>
          <w:rFonts w:ascii="Arial" w:hAnsi="Arial" w:cs="Arial"/>
          <w:noProof/>
          <w:sz w:val="22"/>
          <w:szCs w:val="22"/>
        </w:rPr>
        <w:t xml:space="preserve"> Cicero Predicts cis-Regulatory DNA Interactions from Single-Cell Chromatin Accessibility Data.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Mol. Cell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71,</w:t>
      </w:r>
      <w:r w:rsidRPr="002E2B26">
        <w:rPr>
          <w:rFonts w:ascii="Arial" w:hAnsi="Arial" w:cs="Arial"/>
          <w:noProof/>
          <w:sz w:val="22"/>
          <w:szCs w:val="22"/>
        </w:rPr>
        <w:t xml:space="preserve"> 858–871.e8 (2018).</w:t>
      </w:r>
    </w:p>
    <w:p w14:paraId="2919AFEA" w14:textId="77777777" w:rsidR="002E2B26" w:rsidRPr="002E2B26" w:rsidRDefault="002E2B26" w:rsidP="002E2B26">
      <w:pPr>
        <w:widowControl w:val="0"/>
        <w:autoSpaceDE w:val="0"/>
        <w:autoSpaceDN w:val="0"/>
        <w:adjustRightInd w:val="0"/>
        <w:ind w:left="560" w:hanging="560"/>
        <w:rPr>
          <w:rFonts w:ascii="Arial" w:hAnsi="Arial" w:cs="Arial"/>
          <w:noProof/>
          <w:sz w:val="22"/>
          <w:szCs w:val="22"/>
        </w:rPr>
      </w:pPr>
      <w:r w:rsidRPr="002E2B26">
        <w:rPr>
          <w:rFonts w:ascii="Arial" w:hAnsi="Arial" w:cs="Arial"/>
          <w:noProof/>
          <w:sz w:val="22"/>
          <w:szCs w:val="22"/>
        </w:rPr>
        <w:t>137.</w:t>
      </w:r>
      <w:r w:rsidRPr="002E2B26">
        <w:rPr>
          <w:rFonts w:ascii="Arial" w:hAnsi="Arial" w:cs="Arial"/>
          <w:noProof/>
          <w:sz w:val="22"/>
          <w:szCs w:val="22"/>
        </w:rPr>
        <w:tab/>
        <w:t xml:space="preserve">Yager, L. M., Garcia, A. F., Wunsch, A. M. &amp; Ferguson, S. M. The ins and outs of the striatum: role in drug addiction. </w:t>
      </w:r>
      <w:r w:rsidRPr="002E2B26">
        <w:rPr>
          <w:rFonts w:ascii="Arial" w:hAnsi="Arial" w:cs="Arial"/>
          <w:i/>
          <w:iCs/>
          <w:noProof/>
          <w:sz w:val="22"/>
          <w:szCs w:val="22"/>
        </w:rPr>
        <w:t>Neuroscience</w:t>
      </w:r>
      <w:r w:rsidRPr="002E2B26">
        <w:rPr>
          <w:rFonts w:ascii="Arial" w:hAnsi="Arial" w:cs="Arial"/>
          <w:noProof/>
          <w:sz w:val="22"/>
          <w:szCs w:val="22"/>
        </w:rPr>
        <w:t xml:space="preserve"> </w:t>
      </w:r>
      <w:r w:rsidRPr="002E2B26">
        <w:rPr>
          <w:rFonts w:ascii="Arial" w:hAnsi="Arial" w:cs="Arial"/>
          <w:b/>
          <w:bCs/>
          <w:noProof/>
          <w:sz w:val="22"/>
          <w:szCs w:val="22"/>
        </w:rPr>
        <w:t>301,</w:t>
      </w:r>
      <w:r w:rsidRPr="002E2B26">
        <w:rPr>
          <w:rFonts w:ascii="Arial" w:hAnsi="Arial" w:cs="Arial"/>
          <w:noProof/>
          <w:sz w:val="22"/>
          <w:szCs w:val="22"/>
        </w:rPr>
        <w:t xml:space="preserve"> 529–541 (2015).</w:t>
      </w:r>
    </w:p>
    <w:p w14:paraId="75B2A4F2" w14:textId="597E60A0" w:rsidR="00CE210D" w:rsidRPr="002E2B26" w:rsidRDefault="002E2B26" w:rsidP="002E2B26">
      <w:pPr>
        <w:rPr>
          <w:rFonts w:ascii="Arial" w:hAnsi="Arial" w:cs="Arial"/>
          <w:sz w:val="22"/>
          <w:szCs w:val="22"/>
        </w:rPr>
      </w:pPr>
      <w:r w:rsidRPr="002E2B26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sectPr w:rsidR="00CE210D" w:rsidRPr="002E2B26" w:rsidSect="00FC54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C395Q652F943D766"/>
    <w:docVar w:name="paperpile-doc-name" w:val="Phan_References_resub_final.docx"/>
  </w:docVars>
  <w:rsids>
    <w:rsidRoot w:val="00FC5447"/>
    <w:rsid w:val="00220208"/>
    <w:rsid w:val="002E2B26"/>
    <w:rsid w:val="00845BC0"/>
    <w:rsid w:val="00CE210D"/>
    <w:rsid w:val="00DE5C14"/>
    <w:rsid w:val="00F670F2"/>
    <w:rsid w:val="00F73AF2"/>
    <w:rsid w:val="00F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D4ED"/>
  <w15:chartTrackingRefBased/>
  <w15:docId w15:val="{855B2694-0DA2-C449-926B-6C97A9EA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4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3403</Words>
  <Characters>19399</Characters>
  <Application>Microsoft Office Word</Application>
  <DocSecurity>0</DocSecurity>
  <Lines>161</Lines>
  <Paragraphs>45</Paragraphs>
  <ScaleCrop>false</ScaleCrop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Badoi Phan</dc:creator>
  <cp:keywords/>
  <dc:description/>
  <cp:lastModifiedBy>Badoi Phan</cp:lastModifiedBy>
  <cp:revision>5</cp:revision>
  <dcterms:created xsi:type="dcterms:W3CDTF">2020-04-08T02:35:00Z</dcterms:created>
  <dcterms:modified xsi:type="dcterms:W3CDTF">2020-12-04T06:51:00Z</dcterms:modified>
</cp:coreProperties>
</file>