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BB5752" w14:textId="77777777" w:rsidR="004F4985" w:rsidRDefault="004F4985" w:rsidP="00594DCE">
      <w:pPr>
        <w:pStyle w:val="NormalWeb"/>
        <w:jc w:val="both"/>
      </w:pPr>
      <w:r>
        <w:rPr>
          <w:rFonts w:ascii="Arial" w:hAnsi="Arial" w:cs="Arial"/>
          <w:b/>
          <w:bCs/>
        </w:rPr>
        <w:t xml:space="preserve">Facilities and other resources </w:t>
      </w:r>
    </w:p>
    <w:p w14:paraId="1A11DB41" w14:textId="77777777" w:rsidR="004F4985" w:rsidRDefault="004F4985" w:rsidP="00594DCE">
      <w:pPr>
        <w:pStyle w:val="NormalWeb"/>
        <w:jc w:val="both"/>
      </w:pPr>
      <w:r>
        <w:rPr>
          <w:rFonts w:ascii="Arial" w:hAnsi="Arial" w:cs="Arial"/>
          <w:b/>
          <w:bCs/>
          <w:sz w:val="22"/>
          <w:szCs w:val="22"/>
        </w:rPr>
        <w:t xml:space="preserve">Laboratory Facilities. </w:t>
      </w:r>
      <w:r>
        <w:rPr>
          <w:rFonts w:ascii="ArialMT" w:hAnsi="ArialMT"/>
          <w:sz w:val="22"/>
          <w:szCs w:val="22"/>
        </w:rPr>
        <w:t xml:space="preserve">The Pfenning laboratory is physically located between shared space for neurobiology researchers and the Molecular Bio-Imaging Center (MBIC), with many shared resources to which the Dr. Pfenning has 24/7 access, including fluorescence microscopy. The lab consists of 755 sq. ft. of wet-bench space. The Pfenning wet laboratory and nearby collaborative labs house all necessary equipment and facilities required for the molecular biology aspects of the project. </w:t>
      </w:r>
    </w:p>
    <w:p w14:paraId="3A1506C2" w14:textId="49AEC8B3" w:rsidR="004F4985" w:rsidRDefault="004F4985" w:rsidP="00594DCE">
      <w:pPr>
        <w:pStyle w:val="NormalWeb"/>
        <w:jc w:val="both"/>
        <w:rPr>
          <w:rFonts w:ascii="ArialMT" w:hAnsi="ArialMT"/>
          <w:sz w:val="22"/>
          <w:szCs w:val="22"/>
        </w:rPr>
      </w:pPr>
      <w:r>
        <w:rPr>
          <w:rFonts w:ascii="ArialMT" w:hAnsi="ArialMT"/>
          <w:sz w:val="22"/>
          <w:szCs w:val="22"/>
        </w:rPr>
        <w:t xml:space="preserve">The Pfenning lab has newly renovated office space to provide the PI, postdocs, students, both undergraduate and graduate, and the lab manager space outside the lab to have small conferences and </w:t>
      </w:r>
      <w:r w:rsidR="00D55216">
        <w:rPr>
          <w:rFonts w:ascii="ArialMT" w:hAnsi="ArialMT"/>
          <w:sz w:val="22"/>
          <w:szCs w:val="22"/>
        </w:rPr>
        <w:t>discussions and</w:t>
      </w:r>
      <w:r>
        <w:rPr>
          <w:rFonts w:ascii="ArialMT" w:hAnsi="ArialMT"/>
          <w:sz w:val="22"/>
          <w:szCs w:val="22"/>
        </w:rPr>
        <w:t xml:space="preserve"> provide a productive working environment. The PI has an office, with a small conference area for private discussions and meetings. An additional space of 357 sq. ft. is available for students, postdocs, and technicians, including four desks and a medium sized conference area. Within the wet lab, there is a desk for the lab manager and two desks for anyone to use while performing experiments. </w:t>
      </w:r>
    </w:p>
    <w:p w14:paraId="7772E0C9" w14:textId="45640A51" w:rsidR="00594DCE" w:rsidRPr="00594DCE" w:rsidRDefault="00594DCE" w:rsidP="00594DCE">
      <w:pPr>
        <w:pStyle w:val="NormalWeb"/>
        <w:jc w:val="both"/>
      </w:pPr>
      <w:r w:rsidRPr="00594DCE">
        <w:rPr>
          <w:rFonts w:ascii="Arial" w:hAnsi="Arial" w:cs="Arial"/>
          <w:b/>
          <w:bCs/>
          <w:sz w:val="22"/>
          <w:szCs w:val="22"/>
        </w:rPr>
        <w:t xml:space="preserve">Office and </w:t>
      </w:r>
      <w:r w:rsidR="002776A4" w:rsidRPr="00594DCE">
        <w:rPr>
          <w:rFonts w:ascii="Arial" w:hAnsi="Arial" w:cs="Arial"/>
          <w:b/>
          <w:bCs/>
          <w:sz w:val="22"/>
          <w:szCs w:val="22"/>
        </w:rPr>
        <w:t>Computer</w:t>
      </w:r>
      <w:r w:rsidR="002776A4">
        <w:rPr>
          <w:rFonts w:ascii="Arial" w:hAnsi="Arial" w:cs="Arial"/>
          <w:b/>
          <w:bCs/>
          <w:sz w:val="22"/>
          <w:szCs w:val="22"/>
        </w:rPr>
        <w:t>.</w:t>
      </w:r>
      <w:r w:rsidRPr="00594DCE">
        <w:rPr>
          <w:rFonts w:ascii="Arial" w:hAnsi="Arial" w:cs="Arial"/>
          <w:b/>
          <w:bCs/>
          <w:sz w:val="22"/>
          <w:szCs w:val="22"/>
        </w:rPr>
        <w:t xml:space="preserve"> </w:t>
      </w:r>
      <w:r w:rsidRPr="00594DCE">
        <w:rPr>
          <w:rFonts w:ascii="ArialMT" w:hAnsi="ArialMT"/>
          <w:sz w:val="22"/>
          <w:szCs w:val="22"/>
        </w:rPr>
        <w:t xml:space="preserve">I dedicated access to two offices: 1) a workspace in the experimental laboratory and 2) a designated desk in </w:t>
      </w:r>
      <w:r w:rsidR="002776A4">
        <w:rPr>
          <w:rFonts w:ascii="ArialMT" w:hAnsi="ArialMT"/>
          <w:sz w:val="22"/>
          <w:szCs w:val="22"/>
        </w:rPr>
        <w:t xml:space="preserve">the </w:t>
      </w:r>
      <w:r w:rsidR="00C632AC">
        <w:rPr>
          <w:rFonts w:ascii="ArialMT" w:hAnsi="ArialMT"/>
          <w:sz w:val="22"/>
          <w:szCs w:val="22"/>
        </w:rPr>
        <w:t xml:space="preserve">Computational Biology Department </w:t>
      </w:r>
      <w:r w:rsidRPr="00594DCE">
        <w:rPr>
          <w:rFonts w:ascii="ArialMT" w:hAnsi="ArialMT"/>
          <w:sz w:val="22"/>
          <w:szCs w:val="22"/>
        </w:rPr>
        <w:t>office space reserved for CPCB students in my cohort. I have full access to all hardware and software needed for data entry and analysis pertinent to this proposal, including:</w:t>
      </w:r>
    </w:p>
    <w:p w14:paraId="0D2666A6" w14:textId="77777777" w:rsidR="00594DCE" w:rsidRPr="00594DCE" w:rsidRDefault="00594DCE" w:rsidP="00594DCE">
      <w:pPr>
        <w:pStyle w:val="NormalWeb"/>
        <w:numPr>
          <w:ilvl w:val="0"/>
          <w:numId w:val="2"/>
        </w:numPr>
        <w:jc w:val="both"/>
      </w:pPr>
      <w:r w:rsidRPr="00594DCE">
        <w:rPr>
          <w:rFonts w:ascii="ArialMT" w:hAnsi="ArialMT"/>
          <w:sz w:val="22"/>
          <w:szCs w:val="22"/>
        </w:rPr>
        <w:t>Sole use of a new Apple Mac Mini (3.0Ghz 6 Core Intel i5, 16Gb RAM, 512 Gb SSD)</w:t>
      </w:r>
    </w:p>
    <w:p w14:paraId="153CA9E0" w14:textId="77777777" w:rsidR="00594DCE" w:rsidRPr="00594DCE" w:rsidRDefault="00594DCE" w:rsidP="00594DCE">
      <w:pPr>
        <w:pStyle w:val="NormalWeb"/>
        <w:numPr>
          <w:ilvl w:val="0"/>
          <w:numId w:val="2"/>
        </w:numPr>
        <w:jc w:val="both"/>
      </w:pPr>
      <w:r w:rsidRPr="00594DCE">
        <w:rPr>
          <w:rFonts w:ascii="ArialMT" w:hAnsi="ArialMT"/>
          <w:sz w:val="22"/>
          <w:szCs w:val="22"/>
        </w:rPr>
        <w:t>Sole use of two new HD 24” Dell U2419HC monitors</w:t>
      </w:r>
    </w:p>
    <w:p w14:paraId="534DB95C" w14:textId="18B94618" w:rsidR="00594DCE" w:rsidRPr="00594DCE" w:rsidRDefault="00594DCE" w:rsidP="00594DCE">
      <w:pPr>
        <w:pStyle w:val="NormalWeb"/>
        <w:numPr>
          <w:ilvl w:val="0"/>
          <w:numId w:val="2"/>
        </w:numPr>
        <w:jc w:val="both"/>
      </w:pPr>
      <w:r w:rsidRPr="00594DCE">
        <w:rPr>
          <w:rFonts w:ascii="ArialMT" w:hAnsi="ArialMT"/>
          <w:sz w:val="22"/>
          <w:szCs w:val="22"/>
        </w:rPr>
        <w:t>Sole use of a</w:t>
      </w:r>
      <w:r w:rsidR="00C632AC">
        <w:rPr>
          <w:rFonts w:ascii="ArialMT" w:hAnsi="ArialMT"/>
          <w:sz w:val="22"/>
          <w:szCs w:val="22"/>
        </w:rPr>
        <w:t xml:space="preserve"> new Apple </w:t>
      </w:r>
      <w:r w:rsidRPr="00594DCE">
        <w:rPr>
          <w:rFonts w:ascii="ArialMT" w:hAnsi="ArialMT"/>
          <w:sz w:val="22"/>
          <w:szCs w:val="22"/>
        </w:rPr>
        <w:t>iPad Air for portable use as a digital lab notebook</w:t>
      </w:r>
    </w:p>
    <w:p w14:paraId="67CCE718" w14:textId="77777777" w:rsidR="00594DCE" w:rsidRPr="00594DCE" w:rsidRDefault="00594DCE" w:rsidP="00594DCE">
      <w:pPr>
        <w:pStyle w:val="NormalWeb"/>
        <w:numPr>
          <w:ilvl w:val="0"/>
          <w:numId w:val="2"/>
        </w:numPr>
        <w:jc w:val="both"/>
      </w:pPr>
      <w:r w:rsidRPr="00594DCE">
        <w:rPr>
          <w:rFonts w:ascii="ArialMT" w:hAnsi="ArialMT"/>
          <w:sz w:val="22"/>
          <w:szCs w:val="22"/>
        </w:rPr>
        <w:t xml:space="preserve">Access to all lab-shared computers (Apple Mac lab computer, Dell laptop, and other lab iPads) </w:t>
      </w:r>
    </w:p>
    <w:p w14:paraId="3ACA7A68" w14:textId="77777777" w:rsidR="00594DCE" w:rsidRPr="00594DCE" w:rsidRDefault="00594DCE" w:rsidP="00594DCE">
      <w:pPr>
        <w:pStyle w:val="NormalWeb"/>
        <w:numPr>
          <w:ilvl w:val="0"/>
          <w:numId w:val="2"/>
        </w:numPr>
        <w:jc w:val="both"/>
      </w:pPr>
      <w:r w:rsidRPr="00594DCE">
        <w:rPr>
          <w:rFonts w:ascii="ArialMT" w:hAnsi="ArialMT"/>
          <w:sz w:val="22"/>
          <w:szCs w:val="22"/>
        </w:rPr>
        <w:t>Access to the CBD Lane Compute Cluster (all shared departmental and private Pfenning lab nodes)</w:t>
      </w:r>
    </w:p>
    <w:p w14:paraId="04C6B6D6" w14:textId="77777777" w:rsidR="00594DCE" w:rsidRPr="00594DCE" w:rsidRDefault="00594DCE" w:rsidP="00594DCE">
      <w:pPr>
        <w:pStyle w:val="NormalWeb"/>
        <w:numPr>
          <w:ilvl w:val="0"/>
          <w:numId w:val="2"/>
        </w:numPr>
        <w:jc w:val="both"/>
      </w:pPr>
      <w:r w:rsidRPr="00594DCE">
        <w:rPr>
          <w:rFonts w:ascii="ArialMT" w:hAnsi="ArialMT"/>
          <w:sz w:val="22"/>
          <w:szCs w:val="22"/>
        </w:rPr>
        <w:t>Access to the Pittsburgh Supercomputing Center</w:t>
      </w:r>
    </w:p>
    <w:p w14:paraId="5660D50E" w14:textId="77777777" w:rsidR="00594DCE" w:rsidRPr="00594DCE" w:rsidRDefault="00594DCE" w:rsidP="00594DCE">
      <w:pPr>
        <w:pStyle w:val="NormalWeb"/>
        <w:numPr>
          <w:ilvl w:val="0"/>
          <w:numId w:val="2"/>
        </w:numPr>
        <w:jc w:val="both"/>
      </w:pPr>
      <w:r w:rsidRPr="00594DCE">
        <w:rPr>
          <w:rFonts w:ascii="ArialMT" w:hAnsi="ArialMT"/>
          <w:sz w:val="22"/>
          <w:szCs w:val="22"/>
        </w:rPr>
        <w:t xml:space="preserve">Software for image processing (ImageJ, Adobe Illustrator, Inkscape) </w:t>
      </w:r>
    </w:p>
    <w:p w14:paraId="5156511F" w14:textId="152057B5" w:rsidR="00594DCE" w:rsidRDefault="00594DCE" w:rsidP="00594DCE">
      <w:pPr>
        <w:pStyle w:val="NormalWeb"/>
        <w:numPr>
          <w:ilvl w:val="0"/>
          <w:numId w:val="2"/>
        </w:numPr>
        <w:jc w:val="both"/>
      </w:pPr>
      <w:r w:rsidRPr="00594DCE">
        <w:rPr>
          <w:rFonts w:ascii="ArialMT" w:hAnsi="ArialMT"/>
          <w:sz w:val="22"/>
          <w:szCs w:val="22"/>
        </w:rPr>
        <w:t xml:space="preserve">Software for data analysis (Matlab </w:t>
      </w:r>
      <w:r>
        <w:rPr>
          <w:rFonts w:ascii="ArialMT" w:hAnsi="ArialMT"/>
          <w:sz w:val="22"/>
          <w:szCs w:val="22"/>
        </w:rPr>
        <w:t>2020, Mathematica 2020</w:t>
      </w:r>
      <w:r w:rsidRPr="00594DCE">
        <w:rPr>
          <w:rFonts w:ascii="ArialMT" w:hAnsi="ArialMT"/>
          <w:sz w:val="22"/>
          <w:szCs w:val="22"/>
        </w:rPr>
        <w:t xml:space="preserve">) </w:t>
      </w:r>
    </w:p>
    <w:p w14:paraId="53B11884" w14:textId="77777777" w:rsidR="004F4985" w:rsidRDefault="004F4985" w:rsidP="00594DCE">
      <w:pPr>
        <w:pStyle w:val="NormalWeb"/>
        <w:jc w:val="both"/>
      </w:pPr>
      <w:r>
        <w:rPr>
          <w:rFonts w:ascii="Arial" w:hAnsi="Arial" w:cs="Arial"/>
          <w:b/>
          <w:bCs/>
          <w:sz w:val="22"/>
          <w:szCs w:val="22"/>
        </w:rPr>
        <w:t xml:space="preserve">Animal Facilities. </w:t>
      </w:r>
      <w:r>
        <w:rPr>
          <w:rFonts w:ascii="ArialMT" w:hAnsi="ArialMT"/>
          <w:sz w:val="22"/>
          <w:szCs w:val="22"/>
        </w:rPr>
        <w:t xml:space="preserve">The Mellon Institute Central Vivarium, shared between many laboratories in biological sciences, has space to accommodate at least 100 more cages. This facility is equipped for BSL-3 level virus work. </w:t>
      </w:r>
    </w:p>
    <w:p w14:paraId="02CD8252" w14:textId="64CBE020" w:rsidR="004F4985" w:rsidRDefault="004F4985" w:rsidP="00594DCE">
      <w:pPr>
        <w:pStyle w:val="NormalWeb"/>
        <w:jc w:val="both"/>
      </w:pPr>
      <w:r>
        <w:rPr>
          <w:rFonts w:ascii="Arial" w:hAnsi="Arial" w:cs="Arial"/>
          <w:b/>
          <w:bCs/>
          <w:sz w:val="22"/>
          <w:szCs w:val="22"/>
        </w:rPr>
        <w:t>Heterogeneous Distributed Computing</w:t>
      </w:r>
      <w:r w:rsidR="002776A4">
        <w:rPr>
          <w:rFonts w:ascii="Arial" w:hAnsi="Arial" w:cs="Arial"/>
          <w:b/>
          <w:bCs/>
          <w:sz w:val="22"/>
          <w:szCs w:val="22"/>
        </w:rPr>
        <w:t>.</w:t>
      </w:r>
      <w:r>
        <w:rPr>
          <w:rFonts w:ascii="Arial" w:hAnsi="Arial" w:cs="Arial"/>
          <w:b/>
          <w:bCs/>
          <w:sz w:val="22"/>
          <w:szCs w:val="22"/>
        </w:rPr>
        <w:t xml:space="preserve"> </w:t>
      </w:r>
      <w:r>
        <w:rPr>
          <w:rFonts w:ascii="ArialMT" w:hAnsi="ArialMT"/>
          <w:sz w:val="22"/>
          <w:szCs w:val="22"/>
        </w:rPr>
        <w:t xml:space="preserve">The Carnegie Mellon University (CMU) School of Computer Science (SCS) research facility has a large number and wide variety of computers available for faculty and graduate student use -- approximately 4000 machines. About one-third are Linux/Unix on Intel and AMD platforms, 60% are Windows systems, and Macintosh computers make up the remainder. Every incoming graduate student is provided with a new, high-powered personal computer; some receive a dual-boot configuration – both Windows and Linux. SCS facilities include a rich variety of computing infrastructure services of very high quality: email, shared file service (AFS), authentication, remote access services (VPN, iPass), backup, printing, software licensing, hardware repair, and so on. The SCS environment also includes a growing number of high- performance compute clusters; support services are available for the entire life-cycle of the cluster, including help for specification and purchasing. For all aspects of computing, there is a dedicated support (Help) staff within the facility, which provides full support for users, applications, machines, and services, via a menu of premium support services. For deep learning, the computational biology cluster at CMU is currently equipped with 3 GPU nodes: “2 x Quantum TXR231-1000R (128GB system memory, 4 x GTX 1080 GPU's)”. </w:t>
      </w:r>
    </w:p>
    <w:p w14:paraId="210D30F9" w14:textId="128D9B2C" w:rsidR="004F4985" w:rsidRDefault="004F4985" w:rsidP="00594DCE">
      <w:pPr>
        <w:pStyle w:val="NormalWeb"/>
        <w:jc w:val="both"/>
        <w:rPr>
          <w:rFonts w:ascii="ArialMT" w:hAnsi="ArialMT"/>
          <w:sz w:val="22"/>
          <w:szCs w:val="22"/>
        </w:rPr>
      </w:pPr>
      <w:r>
        <w:rPr>
          <w:rFonts w:ascii="ArialMT" w:hAnsi="ArialMT"/>
          <w:sz w:val="22"/>
          <w:szCs w:val="22"/>
        </w:rPr>
        <w:t xml:space="preserve">Beyond these college resources, the University maintains computation facilities of various kinds for general use.  Pittsburgh Supercomputing Center (PSC) is a joint effort of Carnegie Mellon and the University of Pittsburgh together with Westinghouse Corporation. It is supported by several federal agencies, the Commonwealth of Pennsylvania and private industry. It is a leading partner in the TeraGrid, the National Science Foundation’s cyberinfrastructure program. It operates several supercomputing-class machines, including an SGI UV shared memory machine with 4096 cores and 32TBytes of shared memory. </w:t>
      </w:r>
      <w:r w:rsidR="00AD21E5">
        <w:rPr>
          <w:rFonts w:ascii="ArialMT" w:hAnsi="ArialMT"/>
          <w:sz w:val="22"/>
          <w:szCs w:val="22"/>
        </w:rPr>
        <w:t>W</w:t>
      </w:r>
      <w:r w:rsidR="001331E6" w:rsidRPr="001331E6">
        <w:rPr>
          <w:rFonts w:ascii="ArialMT" w:hAnsi="ArialMT"/>
          <w:sz w:val="22"/>
          <w:szCs w:val="22"/>
        </w:rPr>
        <w:t xml:space="preserve">e currently have XSEDE resources through the Pittsburgh Supercomputing Center (Grant MCB190162 “Investigating the Evolution, Spatial Profiles and Gene Therapy Access Points of Neuronal Cell Populations Using Single Cell Sequencing and Analysis </w:t>
      </w:r>
      <w:r w:rsidR="001331E6" w:rsidRPr="001331E6">
        <w:rPr>
          <w:rFonts w:ascii="ArialMT" w:hAnsi="ArialMT"/>
          <w:sz w:val="22"/>
          <w:szCs w:val="22"/>
        </w:rPr>
        <w:lastRenderedPageBreak/>
        <w:t>Approaches”; PSC GPU (Bridges GPU): 5,000.0 GPU Hours; PSC Storage (Bridges Pylon): 8,000.0 GB; PSC Large Memory (Bridges Large): 14,100.0 Memory Hours; PSC Regular Memory (Bridges): 14,500.0 Sus)</w:t>
      </w:r>
    </w:p>
    <w:p w14:paraId="6BA37D73" w14:textId="5A50460A" w:rsidR="004F4985" w:rsidRDefault="004F4985" w:rsidP="00594DCE">
      <w:pPr>
        <w:pStyle w:val="NormalWeb"/>
        <w:jc w:val="both"/>
      </w:pPr>
      <w:r>
        <w:rPr>
          <w:rFonts w:ascii="Arial" w:hAnsi="Arial" w:cs="Arial"/>
          <w:b/>
          <w:bCs/>
          <w:sz w:val="22"/>
          <w:szCs w:val="22"/>
        </w:rPr>
        <w:t>Networking</w:t>
      </w:r>
      <w:r w:rsidR="002776A4">
        <w:rPr>
          <w:rFonts w:ascii="Arial" w:hAnsi="Arial" w:cs="Arial"/>
          <w:b/>
          <w:bCs/>
          <w:sz w:val="22"/>
          <w:szCs w:val="22"/>
        </w:rPr>
        <w:t>.</w:t>
      </w:r>
      <w:r>
        <w:rPr>
          <w:rFonts w:ascii="Arial" w:hAnsi="Arial" w:cs="Arial"/>
          <w:b/>
          <w:bCs/>
          <w:sz w:val="22"/>
          <w:szCs w:val="22"/>
        </w:rPr>
        <w:t xml:space="preserve"> </w:t>
      </w:r>
      <w:r>
        <w:rPr>
          <w:rFonts w:ascii="ArialMT" w:hAnsi="ArialMT"/>
          <w:sz w:val="22"/>
          <w:szCs w:val="22"/>
        </w:rPr>
        <w:t xml:space="preserve">Carnegie Mellon operates a </w:t>
      </w:r>
      <w:r w:rsidR="00B10BEE">
        <w:rPr>
          <w:rFonts w:ascii="ArialMT" w:hAnsi="ArialMT"/>
          <w:sz w:val="22"/>
          <w:szCs w:val="22"/>
        </w:rPr>
        <w:t>fully interconnected</w:t>
      </w:r>
      <w:r>
        <w:rPr>
          <w:rFonts w:ascii="ArialMT" w:hAnsi="ArialMT"/>
          <w:sz w:val="22"/>
          <w:szCs w:val="22"/>
        </w:rPr>
        <w:t xml:space="preserve">, multimedia, multiprotocol campus network. The system incorporates state-of-the-art commercial technology and spans all campus buildings in a redundant 10Gbps backbone infrastructure that enables access to all campus systems, including the PSC supercomputers. The University also provides Wi-Fi connectivity in all campus buildings; it has recently upgraded to equipment that supports the 802.11n standard, which provides wireless speeds in excess of 100Mbps. </w:t>
      </w:r>
    </w:p>
    <w:p w14:paraId="7A109731" w14:textId="77777777" w:rsidR="004F4985" w:rsidRDefault="004F4985" w:rsidP="00594DCE">
      <w:pPr>
        <w:pStyle w:val="NormalWeb"/>
        <w:jc w:val="both"/>
      </w:pPr>
      <w:r>
        <w:rPr>
          <w:rFonts w:ascii="ArialMT" w:hAnsi="ArialMT"/>
          <w:sz w:val="22"/>
          <w:szCs w:val="22"/>
        </w:rPr>
        <w:t xml:space="preserve">SCS has redundant 10Gbps links to the Carnegie Mellon campus network. The University has redundant 1Gbps links to a combination of providers for internet connectivity. These include Sprint and Level3 for commodity internet traffic, and the Three Rivers Optical Exchange (3ROX) for connections to a number of high-speed research and education networks, including Internet2, National Lambda Rail, ESnet, and Teragrid. The University can also arrange advanced point-to-point research connectivity through services such as Internet2’s Dynamic Circuit Network. </w:t>
      </w:r>
    </w:p>
    <w:p w14:paraId="325F2903" w14:textId="549BE392" w:rsidR="004F4985" w:rsidRDefault="004F4985" w:rsidP="00594DCE">
      <w:pPr>
        <w:pStyle w:val="NormalWeb"/>
        <w:jc w:val="both"/>
      </w:pPr>
      <w:r>
        <w:rPr>
          <w:rFonts w:ascii="Arial" w:hAnsi="Arial" w:cs="Arial"/>
          <w:b/>
          <w:bCs/>
          <w:sz w:val="22"/>
          <w:szCs w:val="22"/>
        </w:rPr>
        <w:t>General Facilities Information</w:t>
      </w:r>
      <w:r w:rsidR="002776A4">
        <w:rPr>
          <w:rFonts w:ascii="Arial" w:hAnsi="Arial" w:cs="Arial"/>
          <w:b/>
          <w:bCs/>
          <w:sz w:val="22"/>
          <w:szCs w:val="22"/>
        </w:rPr>
        <w:t>.</w:t>
      </w:r>
      <w:r>
        <w:rPr>
          <w:rFonts w:ascii="Arial" w:hAnsi="Arial" w:cs="Arial"/>
          <w:b/>
          <w:bCs/>
          <w:sz w:val="22"/>
          <w:szCs w:val="22"/>
        </w:rPr>
        <w:t xml:space="preserve"> </w:t>
      </w:r>
      <w:r>
        <w:rPr>
          <w:rFonts w:ascii="ArialMT" w:hAnsi="ArialMT"/>
          <w:sz w:val="22"/>
          <w:szCs w:val="22"/>
        </w:rPr>
        <w:t xml:space="preserve">Carnegie Mellon's School of Computer Science is the largest academic organization devoted to the study of computers. Its seven degree-granting departments—the Computer Science Department, the Human-Computer Interaction Institute, the Institute for Software Research, the Computational Biology Department, the Language Technologies Institute, the Machine Learning Department, and the Robotics Institute—include over 250 faculty, 700 graduate students, and a 250-member professional technical staff. SCS also collaborates with other University Research Centers, including the Software Engineering Institute (SEI), the Pittsburgh Supercomputing Center (PSC), the Information Networking Institute (INI), the Institute for Complex Engineered Systems (ICES), the Center for the Neural Basis of Cognition (CNBC), and the Entertainment Technology Center (ETC). </w:t>
      </w:r>
    </w:p>
    <w:p w14:paraId="07B530F5" w14:textId="7B762E21" w:rsidR="004F4985" w:rsidRDefault="004F4985" w:rsidP="00594DCE">
      <w:pPr>
        <w:pStyle w:val="NormalWeb"/>
        <w:jc w:val="both"/>
      </w:pPr>
      <w:r>
        <w:rPr>
          <w:rFonts w:ascii="Arial" w:hAnsi="Arial" w:cs="Arial"/>
          <w:b/>
          <w:bCs/>
          <w:sz w:val="22"/>
          <w:szCs w:val="22"/>
        </w:rPr>
        <w:t>Environment</w:t>
      </w:r>
      <w:r w:rsidR="002776A4">
        <w:rPr>
          <w:rFonts w:ascii="Arial" w:hAnsi="Arial" w:cs="Arial"/>
          <w:b/>
          <w:bCs/>
          <w:sz w:val="22"/>
          <w:szCs w:val="22"/>
        </w:rPr>
        <w:t>.</w:t>
      </w:r>
      <w:r>
        <w:rPr>
          <w:rFonts w:ascii="ArialMT" w:hAnsi="ArialMT"/>
          <w:sz w:val="22"/>
          <w:szCs w:val="22"/>
        </w:rPr>
        <w:t xml:space="preserve"> The research environment in computational genomics is especially strong. The Department of Computational Biology within the School of Computer Science provides a close-knit community of several faculty developing new computational approaches to analyze genomic data. This includes Dr. Ziv Bar-Joseph, Dr. Eric Xing, Dr. Carl Kingsford, Dr. Jian Ma, Dr. Russell Schwartz, and Dr. Seyoung Kim. Dr. Joel McManus who is affiliated with department is also developing high-throughput reporter assay methods and integrating computational and experimental approaches. </w:t>
      </w:r>
    </w:p>
    <w:p w14:paraId="4D23EAD0" w14:textId="6484042B" w:rsidR="004F4985" w:rsidRDefault="004F4985" w:rsidP="00594DCE">
      <w:pPr>
        <w:pStyle w:val="NormalWeb"/>
        <w:jc w:val="both"/>
      </w:pPr>
      <w:r>
        <w:rPr>
          <w:rFonts w:ascii="ArialMT" w:hAnsi="ArialMT"/>
          <w:sz w:val="22"/>
          <w:szCs w:val="22"/>
        </w:rPr>
        <w:t>The research environment for neuroscience at Carnegie Mellon is excellent. Three neuroscientist faculty (</w:t>
      </w:r>
      <w:r w:rsidR="00C632AC">
        <w:rPr>
          <w:rFonts w:ascii="ArialMT" w:hAnsi="ArialMT"/>
          <w:sz w:val="22"/>
          <w:szCs w:val="22"/>
        </w:rPr>
        <w:t xml:space="preserve">Dr. </w:t>
      </w:r>
      <w:r>
        <w:rPr>
          <w:rFonts w:ascii="ArialMT" w:hAnsi="ArialMT"/>
          <w:sz w:val="22"/>
          <w:szCs w:val="22"/>
        </w:rPr>
        <w:t xml:space="preserve">Sandy Kuhlman, </w:t>
      </w:r>
      <w:r w:rsidR="00C632AC">
        <w:rPr>
          <w:rFonts w:ascii="ArialMT" w:hAnsi="ArialMT"/>
          <w:sz w:val="22"/>
          <w:szCs w:val="22"/>
        </w:rPr>
        <w:t xml:space="preserve">Dr. </w:t>
      </w:r>
      <w:r>
        <w:rPr>
          <w:rFonts w:ascii="ArialMT" w:hAnsi="ArialMT"/>
          <w:sz w:val="22"/>
          <w:szCs w:val="22"/>
        </w:rPr>
        <w:t>Aryn Gittis,</w:t>
      </w:r>
      <w:r w:rsidR="00E35B30">
        <w:rPr>
          <w:rFonts w:ascii="ArialMT" w:hAnsi="ArialMT"/>
          <w:sz w:val="22"/>
          <w:szCs w:val="22"/>
        </w:rPr>
        <w:t xml:space="preserve"> </w:t>
      </w:r>
      <w:r w:rsidR="00C632AC">
        <w:rPr>
          <w:rFonts w:ascii="ArialMT" w:hAnsi="ArialMT"/>
          <w:sz w:val="22"/>
          <w:szCs w:val="22"/>
        </w:rPr>
        <w:t xml:space="preserve">Dr. </w:t>
      </w:r>
      <w:r w:rsidR="00E35B30">
        <w:rPr>
          <w:rFonts w:ascii="ArialMT" w:hAnsi="ArialMT"/>
          <w:sz w:val="22"/>
          <w:szCs w:val="22"/>
        </w:rPr>
        <w:t>Eric Yttri,</w:t>
      </w:r>
      <w:r>
        <w:rPr>
          <w:rFonts w:ascii="ArialMT" w:hAnsi="ArialMT"/>
          <w:sz w:val="22"/>
          <w:szCs w:val="22"/>
        </w:rPr>
        <w:t xml:space="preserve"> and </w:t>
      </w:r>
      <w:r w:rsidR="00C632AC">
        <w:rPr>
          <w:rFonts w:ascii="ArialMT" w:hAnsi="ArialMT"/>
          <w:sz w:val="22"/>
          <w:szCs w:val="22"/>
        </w:rPr>
        <w:t xml:space="preserve">Dr. </w:t>
      </w:r>
      <w:r>
        <w:rPr>
          <w:rFonts w:ascii="ArialMT" w:hAnsi="ArialMT"/>
          <w:sz w:val="22"/>
          <w:szCs w:val="22"/>
        </w:rPr>
        <w:t xml:space="preserve">Alison Barth) in the department of Biological Sciences share contiguous laboratory and graduate student/post-doc office space. The Pfenning laboratory is directly next-door. Across the </w:t>
      </w:r>
      <w:r w:rsidR="00991BC9">
        <w:rPr>
          <w:rFonts w:ascii="ArialMT" w:hAnsi="ArialMT"/>
          <w:sz w:val="22"/>
          <w:szCs w:val="22"/>
        </w:rPr>
        <w:t>five</w:t>
      </w:r>
      <w:r>
        <w:rPr>
          <w:rFonts w:ascii="ArialMT" w:hAnsi="ArialMT"/>
          <w:sz w:val="22"/>
          <w:szCs w:val="22"/>
        </w:rPr>
        <w:t xml:space="preserve"> groups are </w:t>
      </w:r>
      <w:r w:rsidR="00991BC9">
        <w:rPr>
          <w:rFonts w:ascii="ArialMT" w:hAnsi="ArialMT"/>
          <w:sz w:val="22"/>
          <w:szCs w:val="22"/>
        </w:rPr>
        <w:t>12</w:t>
      </w:r>
      <w:r>
        <w:rPr>
          <w:rFonts w:ascii="ArialMT" w:hAnsi="ArialMT"/>
          <w:sz w:val="22"/>
          <w:szCs w:val="22"/>
        </w:rPr>
        <w:t xml:space="preserve"> graduate students, 2 post-docs, 6 technicians, and one research scientist. This organization enables daily, informal contact between investigators and trainees, facilitating resource sharing and collaboration. In addition, there are monthly research presentations given by neuroscience graduate students and post-docs. Due to close collaborations with these labs, the Pfenning lab has access to any equipment needed to preserve and slice tissue for histology or dissection of specific structures </w:t>
      </w:r>
      <w:r w:rsidR="000F7159">
        <w:rPr>
          <w:rFonts w:ascii="ArialMT" w:hAnsi="ArialMT"/>
          <w:sz w:val="22"/>
          <w:szCs w:val="22"/>
        </w:rPr>
        <w:t>within</w:t>
      </w:r>
      <w:r>
        <w:rPr>
          <w:rFonts w:ascii="ArialMT" w:hAnsi="ArialMT"/>
          <w:sz w:val="22"/>
          <w:szCs w:val="22"/>
        </w:rPr>
        <w:t xml:space="preserve"> the brain for down-stream molecular analysis. The local atmosphere is for neuroscience research is dynamic and interactive. </w:t>
      </w:r>
      <w:r w:rsidR="002776A4">
        <w:rPr>
          <w:rFonts w:ascii="ArialMT" w:hAnsi="ArialMT"/>
          <w:sz w:val="22"/>
          <w:szCs w:val="22"/>
        </w:rPr>
        <w:t>CMU and Pitt</w:t>
      </w:r>
      <w:r>
        <w:rPr>
          <w:rFonts w:ascii="ArialMT" w:hAnsi="ArialMT"/>
          <w:sz w:val="22"/>
          <w:szCs w:val="22"/>
        </w:rPr>
        <w:t xml:space="preserve"> located less than half a mile apart, together provide a rich intellectual environment for neuroscience research in Pittsburgh. This is formalized in the dual-university Center for the Neural Basis of Cognition, of which Dr. Pfenning is an active member. </w:t>
      </w:r>
    </w:p>
    <w:p w14:paraId="7747F601" w14:textId="783D2D9A" w:rsidR="00594DCE" w:rsidRDefault="00594DCE" w:rsidP="00594DCE">
      <w:pPr>
        <w:pStyle w:val="NormalWeb"/>
        <w:jc w:val="both"/>
      </w:pPr>
      <w:r w:rsidRPr="000F7159">
        <w:rPr>
          <w:rFonts w:ascii="ArialMT" w:hAnsi="ArialMT"/>
          <w:sz w:val="22"/>
          <w:szCs w:val="22"/>
        </w:rPr>
        <w:t>The University of Pittsburgh (</w:t>
      </w:r>
      <w:r w:rsidRPr="000F7159">
        <w:rPr>
          <w:rFonts w:ascii="Arial" w:hAnsi="Arial" w:cs="Arial"/>
          <w:i/>
          <w:iCs/>
          <w:sz w:val="22"/>
          <w:szCs w:val="22"/>
        </w:rPr>
        <w:t>Pitt</w:t>
      </w:r>
      <w:r w:rsidRPr="000F7159">
        <w:rPr>
          <w:rFonts w:ascii="ArialMT" w:hAnsi="ArialMT"/>
          <w:sz w:val="22"/>
          <w:szCs w:val="22"/>
        </w:rPr>
        <w:t>)</w:t>
      </w:r>
      <w:r>
        <w:rPr>
          <w:rFonts w:ascii="ArialMT" w:hAnsi="ArialMT"/>
          <w:sz w:val="22"/>
          <w:szCs w:val="22"/>
        </w:rPr>
        <w:t xml:space="preserve"> is a major academic medical center with a well-established record of high quality, federally funded research. Pitt consistently ranks among the top 10 recipients of NIH funding and has recently risen to the fifth-highest recipient; the University and its affiliates received over $315 million in NIH support in 2017. Pitt’s many research centers devoted to neuroscience create an exceptional training environment that is particularly strong in the areas of sensory biology, movement disorders, computational research, and neuroimaging. Pitt’s programs for graduate medical education are highly regarded, with the Psychiatry</w:t>
      </w:r>
      <w:r w:rsidR="00457F97">
        <w:rPr>
          <w:rFonts w:ascii="ArialMT" w:hAnsi="ArialMT"/>
          <w:sz w:val="22"/>
          <w:szCs w:val="22"/>
        </w:rPr>
        <w:t xml:space="preserve"> and Neurology </w:t>
      </w:r>
      <w:r>
        <w:rPr>
          <w:rFonts w:ascii="ArialMT" w:hAnsi="ArialMT"/>
          <w:sz w:val="22"/>
          <w:szCs w:val="22"/>
        </w:rPr>
        <w:t xml:space="preserve">departments consistently ranking in the top 10 programs nationally. Pitt is truly a collaborative place, evidenced by its close ties to CMU. I have found the faculty to be extremely accessible, and I will continue to make invaluable connections with leading neuroscientists and physician-scientists throughout my training. </w:t>
      </w:r>
    </w:p>
    <w:p w14:paraId="1EB582FF" w14:textId="3C5F2CC8" w:rsidR="00594DCE" w:rsidRDefault="00594DCE" w:rsidP="00594DCE">
      <w:pPr>
        <w:pStyle w:val="NormalWeb"/>
        <w:jc w:val="both"/>
      </w:pPr>
      <w:r w:rsidRPr="000F7159">
        <w:rPr>
          <w:rFonts w:ascii="ArialMT" w:hAnsi="ArialMT"/>
          <w:sz w:val="22"/>
          <w:szCs w:val="22"/>
        </w:rPr>
        <w:lastRenderedPageBreak/>
        <w:t>The University of Pittsburgh Medical Center (</w:t>
      </w:r>
      <w:r w:rsidRPr="000F7159">
        <w:rPr>
          <w:rFonts w:ascii="Arial" w:hAnsi="Arial" w:cs="Arial"/>
          <w:sz w:val="22"/>
          <w:szCs w:val="22"/>
        </w:rPr>
        <w:t>UPMC</w:t>
      </w:r>
      <w:r w:rsidRPr="000F7159">
        <w:rPr>
          <w:rFonts w:ascii="ArialMT" w:hAnsi="ArialMT"/>
          <w:sz w:val="22"/>
          <w:szCs w:val="22"/>
        </w:rPr>
        <w:t>) is</w:t>
      </w:r>
      <w:r>
        <w:rPr>
          <w:rFonts w:ascii="ArialMT" w:hAnsi="ArialMT"/>
          <w:sz w:val="22"/>
          <w:szCs w:val="22"/>
        </w:rPr>
        <w:t xml:space="preserve"> a non-profit health system comprising over 30 hospitals and 2700 physicians. In 2016, UPMC was ranked 12</w:t>
      </w:r>
      <w:r>
        <w:rPr>
          <w:rFonts w:ascii="ArialMT" w:hAnsi="ArialMT"/>
          <w:sz w:val="14"/>
          <w:szCs w:val="14"/>
        </w:rPr>
        <w:t xml:space="preserve">th </w:t>
      </w:r>
      <w:r>
        <w:rPr>
          <w:rFonts w:ascii="ArialMT" w:hAnsi="ArialMT"/>
          <w:sz w:val="22"/>
          <w:szCs w:val="22"/>
        </w:rPr>
        <w:t xml:space="preserve">nationally in </w:t>
      </w:r>
      <w:r>
        <w:rPr>
          <w:rFonts w:ascii="Arial" w:hAnsi="Arial" w:cs="Arial"/>
          <w:i/>
          <w:iCs/>
          <w:sz w:val="22"/>
          <w:szCs w:val="22"/>
        </w:rPr>
        <w:t xml:space="preserve">U.S. News and World Report’s </w:t>
      </w:r>
      <w:r>
        <w:rPr>
          <w:rFonts w:ascii="ArialMT" w:hAnsi="ArialMT"/>
          <w:sz w:val="22"/>
          <w:szCs w:val="22"/>
        </w:rPr>
        <w:t>Honor Roll of America’s Best Hospitals. UPMC provides a large, diverse patient population for translational studies. Further, UPMC provides a dynamic hospital system for medical students to train. No other medical schools have access to UPMC facilities, guaranteeing access to the world-renowned faculty and resources of UPMC for Pitt medical students. Since there are few non-UPMC healthcare facilities in the region for specialized care, Pitt students encounter a diverse patient population from rural and urban areas within a ~</w:t>
      </w:r>
      <w:r w:rsidR="000F7159">
        <w:rPr>
          <w:rFonts w:ascii="ArialMT" w:hAnsi="ArialMT"/>
          <w:sz w:val="22"/>
          <w:szCs w:val="22"/>
        </w:rPr>
        <w:t>150-mile</w:t>
      </w:r>
      <w:r>
        <w:rPr>
          <w:rFonts w:ascii="ArialMT" w:hAnsi="ArialMT"/>
          <w:sz w:val="22"/>
          <w:szCs w:val="22"/>
        </w:rPr>
        <w:t xml:space="preserve"> radius of Pittsburgh, encompassing all of western Pennsylvania as well parts of West Virginia, New York, and Ohio. UPMC’s generous financial support of biomedical research at Pitt further stabilizes research funding. Overall, UPMC contributes substantially to the financial and translational success of research at the University of Pittsburgh, in addition to providing excellent clinical training to MSTP students (see “Additional Education Information” for MSTP details). </w:t>
      </w:r>
    </w:p>
    <w:p w14:paraId="346F2337" w14:textId="0A3DCEB0" w:rsidR="00594DCE" w:rsidRDefault="00594DCE" w:rsidP="00594DCE">
      <w:pPr>
        <w:pStyle w:val="NormalWeb"/>
        <w:jc w:val="both"/>
      </w:pPr>
      <w:r w:rsidRPr="000F7159">
        <w:rPr>
          <w:rFonts w:ascii="ArialMT" w:hAnsi="ArialMT"/>
          <w:sz w:val="22"/>
          <w:szCs w:val="22"/>
        </w:rPr>
        <w:t xml:space="preserve">The Pitt-CMU Center for the Neural Basis of Cognition (CNBC) </w:t>
      </w:r>
      <w:r>
        <w:rPr>
          <w:rFonts w:ascii="ArialMT" w:hAnsi="ArialMT"/>
          <w:sz w:val="22"/>
          <w:szCs w:val="22"/>
        </w:rPr>
        <w:t>is one of the nation’s largest and most well- regarded cross-institutional programs in neuroscience. The program includes graduate students and faculty from Pitt’s Center for Neuroscience (CNUP)</w:t>
      </w:r>
      <w:r w:rsidR="00CD3521">
        <w:rPr>
          <w:rFonts w:ascii="ArialMT" w:hAnsi="ArialMT"/>
          <w:sz w:val="22"/>
          <w:szCs w:val="22"/>
        </w:rPr>
        <w:t xml:space="preserve">, </w:t>
      </w:r>
      <w:r>
        <w:rPr>
          <w:rFonts w:ascii="ArialMT" w:hAnsi="ArialMT"/>
          <w:sz w:val="22"/>
          <w:szCs w:val="22"/>
        </w:rPr>
        <w:t>CMU Biological Sciences</w:t>
      </w:r>
      <w:r w:rsidR="00CD3521">
        <w:rPr>
          <w:rFonts w:ascii="ArialMT" w:hAnsi="ArialMT"/>
          <w:sz w:val="22"/>
          <w:szCs w:val="22"/>
        </w:rPr>
        <w:t>,</w:t>
      </w:r>
      <w:r>
        <w:rPr>
          <w:rFonts w:ascii="ArialMT" w:hAnsi="ArialMT"/>
          <w:sz w:val="22"/>
          <w:szCs w:val="22"/>
        </w:rPr>
        <w:t xml:space="preserve"> Computational Biology, Computer Science, Biomedical Engineering, Psychology, Statistics, Philosophy, and Machine Learning. The program includes over 200 faculty across numerous departments at Pitt, CMU, the CNBC, and UPMC, and numerous opportunities to interact with these faculty at multiple seminar series on both general and specialized neuroscience topics. The CNUP is supported in part by a large NIH pre-doctoral training grant and was one of eight centers nationwide to participate in the Carnegie Foundation’s Initiative on the Doctorate to assess graduate education in neuroscience. </w:t>
      </w:r>
    </w:p>
    <w:p w14:paraId="614EB494" w14:textId="661759F4" w:rsidR="00594DCE" w:rsidRDefault="00594DCE" w:rsidP="00594DCE">
      <w:pPr>
        <w:pStyle w:val="NormalWeb"/>
        <w:jc w:val="both"/>
      </w:pPr>
    </w:p>
    <w:p w14:paraId="0DAAD6E2" w14:textId="77777777" w:rsidR="00E35B30" w:rsidRPr="004F2DE5" w:rsidRDefault="00E35B30" w:rsidP="00594DCE">
      <w:pPr>
        <w:pStyle w:val="NormalWeb"/>
        <w:jc w:val="both"/>
        <w:rPr>
          <w:rFonts w:ascii="ArialMT" w:hAnsi="ArialMT"/>
          <w:sz w:val="22"/>
          <w:szCs w:val="22"/>
        </w:rPr>
      </w:pPr>
    </w:p>
    <w:sectPr w:rsidR="00E35B30" w:rsidRPr="004F2DE5" w:rsidSect="000025B2">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9736A8"/>
    <w:multiLevelType w:val="multilevel"/>
    <w:tmpl w:val="38F0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E54612"/>
    <w:multiLevelType w:val="multilevel"/>
    <w:tmpl w:val="AC06F2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pile-doc-id" w:val="K884X242T632R326"/>
    <w:docVar w:name="paperpile-doc-name" w:val="Phan_Facilities-and-Other-Resources_resub_final.docx"/>
  </w:docVars>
  <w:rsids>
    <w:rsidRoot w:val="00CA60F6"/>
    <w:rsid w:val="00000123"/>
    <w:rsid w:val="000025B2"/>
    <w:rsid w:val="00042273"/>
    <w:rsid w:val="000C6379"/>
    <w:rsid w:val="000F7159"/>
    <w:rsid w:val="001058EF"/>
    <w:rsid w:val="001331E6"/>
    <w:rsid w:val="001C1262"/>
    <w:rsid w:val="001E733E"/>
    <w:rsid w:val="00207A82"/>
    <w:rsid w:val="002776A4"/>
    <w:rsid w:val="002D4FF0"/>
    <w:rsid w:val="00457F97"/>
    <w:rsid w:val="004978D9"/>
    <w:rsid w:val="004E6D04"/>
    <w:rsid w:val="004F2DE5"/>
    <w:rsid w:val="004F4985"/>
    <w:rsid w:val="0053239B"/>
    <w:rsid w:val="0053455E"/>
    <w:rsid w:val="0054760E"/>
    <w:rsid w:val="00594DCE"/>
    <w:rsid w:val="005C50FF"/>
    <w:rsid w:val="00610572"/>
    <w:rsid w:val="00696775"/>
    <w:rsid w:val="006C572F"/>
    <w:rsid w:val="007167D3"/>
    <w:rsid w:val="00766360"/>
    <w:rsid w:val="007A54BD"/>
    <w:rsid w:val="008F26D5"/>
    <w:rsid w:val="00991BC9"/>
    <w:rsid w:val="0099586B"/>
    <w:rsid w:val="009A6CFB"/>
    <w:rsid w:val="009D4267"/>
    <w:rsid w:val="00A16D40"/>
    <w:rsid w:val="00A3794A"/>
    <w:rsid w:val="00A45E97"/>
    <w:rsid w:val="00A46F3E"/>
    <w:rsid w:val="00AD21E5"/>
    <w:rsid w:val="00B10BEE"/>
    <w:rsid w:val="00B63DF6"/>
    <w:rsid w:val="00C632AC"/>
    <w:rsid w:val="00CA60F6"/>
    <w:rsid w:val="00CD3521"/>
    <w:rsid w:val="00D51E20"/>
    <w:rsid w:val="00D55216"/>
    <w:rsid w:val="00D572EA"/>
    <w:rsid w:val="00E35B30"/>
    <w:rsid w:val="00E93C57"/>
    <w:rsid w:val="00ED19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35DFB437"/>
  <w15:chartTrackingRefBased/>
  <w15:docId w15:val="{86705002-7471-9E4B-9C0C-EF2F54B8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4985"/>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1C1262"/>
    <w:rPr>
      <w:sz w:val="18"/>
      <w:szCs w:val="18"/>
    </w:rPr>
  </w:style>
  <w:style w:type="character" w:customStyle="1" w:styleId="BalloonTextChar">
    <w:name w:val="Balloon Text Char"/>
    <w:basedOn w:val="DefaultParagraphFont"/>
    <w:link w:val="BalloonText"/>
    <w:uiPriority w:val="99"/>
    <w:semiHidden/>
    <w:rsid w:val="001C126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52773">
      <w:bodyDiv w:val="1"/>
      <w:marLeft w:val="0"/>
      <w:marRight w:val="0"/>
      <w:marTop w:val="0"/>
      <w:marBottom w:val="0"/>
      <w:divBdr>
        <w:top w:val="none" w:sz="0" w:space="0" w:color="auto"/>
        <w:left w:val="none" w:sz="0" w:space="0" w:color="auto"/>
        <w:bottom w:val="none" w:sz="0" w:space="0" w:color="auto"/>
        <w:right w:val="none" w:sz="0" w:space="0" w:color="auto"/>
      </w:divBdr>
      <w:divsChild>
        <w:div w:id="150171816">
          <w:marLeft w:val="0"/>
          <w:marRight w:val="0"/>
          <w:marTop w:val="0"/>
          <w:marBottom w:val="0"/>
          <w:divBdr>
            <w:top w:val="none" w:sz="0" w:space="0" w:color="auto"/>
            <w:left w:val="none" w:sz="0" w:space="0" w:color="auto"/>
            <w:bottom w:val="none" w:sz="0" w:space="0" w:color="auto"/>
            <w:right w:val="none" w:sz="0" w:space="0" w:color="auto"/>
          </w:divBdr>
          <w:divsChild>
            <w:div w:id="1051003057">
              <w:marLeft w:val="0"/>
              <w:marRight w:val="0"/>
              <w:marTop w:val="0"/>
              <w:marBottom w:val="0"/>
              <w:divBdr>
                <w:top w:val="none" w:sz="0" w:space="0" w:color="auto"/>
                <w:left w:val="none" w:sz="0" w:space="0" w:color="auto"/>
                <w:bottom w:val="none" w:sz="0" w:space="0" w:color="auto"/>
                <w:right w:val="none" w:sz="0" w:space="0" w:color="auto"/>
              </w:divBdr>
              <w:divsChild>
                <w:div w:id="36039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6038">
      <w:bodyDiv w:val="1"/>
      <w:marLeft w:val="0"/>
      <w:marRight w:val="0"/>
      <w:marTop w:val="0"/>
      <w:marBottom w:val="0"/>
      <w:divBdr>
        <w:top w:val="none" w:sz="0" w:space="0" w:color="auto"/>
        <w:left w:val="none" w:sz="0" w:space="0" w:color="auto"/>
        <w:bottom w:val="none" w:sz="0" w:space="0" w:color="auto"/>
        <w:right w:val="none" w:sz="0" w:space="0" w:color="auto"/>
      </w:divBdr>
    </w:div>
    <w:div w:id="620889683">
      <w:bodyDiv w:val="1"/>
      <w:marLeft w:val="0"/>
      <w:marRight w:val="0"/>
      <w:marTop w:val="0"/>
      <w:marBottom w:val="0"/>
      <w:divBdr>
        <w:top w:val="none" w:sz="0" w:space="0" w:color="auto"/>
        <w:left w:val="none" w:sz="0" w:space="0" w:color="auto"/>
        <w:bottom w:val="none" w:sz="0" w:space="0" w:color="auto"/>
        <w:right w:val="none" w:sz="0" w:space="0" w:color="auto"/>
      </w:divBdr>
    </w:div>
    <w:div w:id="666251928">
      <w:bodyDiv w:val="1"/>
      <w:marLeft w:val="0"/>
      <w:marRight w:val="0"/>
      <w:marTop w:val="0"/>
      <w:marBottom w:val="0"/>
      <w:divBdr>
        <w:top w:val="none" w:sz="0" w:space="0" w:color="auto"/>
        <w:left w:val="none" w:sz="0" w:space="0" w:color="auto"/>
        <w:bottom w:val="none" w:sz="0" w:space="0" w:color="auto"/>
        <w:right w:val="none" w:sz="0" w:space="0" w:color="auto"/>
      </w:divBdr>
      <w:divsChild>
        <w:div w:id="395400139">
          <w:marLeft w:val="0"/>
          <w:marRight w:val="0"/>
          <w:marTop w:val="0"/>
          <w:marBottom w:val="0"/>
          <w:divBdr>
            <w:top w:val="none" w:sz="0" w:space="0" w:color="auto"/>
            <w:left w:val="none" w:sz="0" w:space="0" w:color="auto"/>
            <w:bottom w:val="none" w:sz="0" w:space="0" w:color="auto"/>
            <w:right w:val="none" w:sz="0" w:space="0" w:color="auto"/>
          </w:divBdr>
          <w:divsChild>
            <w:div w:id="519006086">
              <w:marLeft w:val="0"/>
              <w:marRight w:val="0"/>
              <w:marTop w:val="0"/>
              <w:marBottom w:val="0"/>
              <w:divBdr>
                <w:top w:val="none" w:sz="0" w:space="0" w:color="auto"/>
                <w:left w:val="none" w:sz="0" w:space="0" w:color="auto"/>
                <w:bottom w:val="none" w:sz="0" w:space="0" w:color="auto"/>
                <w:right w:val="none" w:sz="0" w:space="0" w:color="auto"/>
              </w:divBdr>
              <w:divsChild>
                <w:div w:id="14609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928544">
      <w:bodyDiv w:val="1"/>
      <w:marLeft w:val="0"/>
      <w:marRight w:val="0"/>
      <w:marTop w:val="0"/>
      <w:marBottom w:val="0"/>
      <w:divBdr>
        <w:top w:val="none" w:sz="0" w:space="0" w:color="auto"/>
        <w:left w:val="none" w:sz="0" w:space="0" w:color="auto"/>
        <w:bottom w:val="none" w:sz="0" w:space="0" w:color="auto"/>
        <w:right w:val="none" w:sz="0" w:space="0" w:color="auto"/>
      </w:divBdr>
    </w:div>
    <w:div w:id="1027947418">
      <w:bodyDiv w:val="1"/>
      <w:marLeft w:val="0"/>
      <w:marRight w:val="0"/>
      <w:marTop w:val="0"/>
      <w:marBottom w:val="0"/>
      <w:divBdr>
        <w:top w:val="none" w:sz="0" w:space="0" w:color="auto"/>
        <w:left w:val="none" w:sz="0" w:space="0" w:color="auto"/>
        <w:bottom w:val="none" w:sz="0" w:space="0" w:color="auto"/>
        <w:right w:val="none" w:sz="0" w:space="0" w:color="auto"/>
      </w:divBdr>
    </w:div>
    <w:div w:id="1059982945">
      <w:bodyDiv w:val="1"/>
      <w:marLeft w:val="0"/>
      <w:marRight w:val="0"/>
      <w:marTop w:val="0"/>
      <w:marBottom w:val="0"/>
      <w:divBdr>
        <w:top w:val="none" w:sz="0" w:space="0" w:color="auto"/>
        <w:left w:val="none" w:sz="0" w:space="0" w:color="auto"/>
        <w:bottom w:val="none" w:sz="0" w:space="0" w:color="auto"/>
        <w:right w:val="none" w:sz="0" w:space="0" w:color="auto"/>
      </w:divBdr>
    </w:div>
    <w:div w:id="1282230425">
      <w:bodyDiv w:val="1"/>
      <w:marLeft w:val="0"/>
      <w:marRight w:val="0"/>
      <w:marTop w:val="0"/>
      <w:marBottom w:val="0"/>
      <w:divBdr>
        <w:top w:val="none" w:sz="0" w:space="0" w:color="auto"/>
        <w:left w:val="none" w:sz="0" w:space="0" w:color="auto"/>
        <w:bottom w:val="none" w:sz="0" w:space="0" w:color="auto"/>
        <w:right w:val="none" w:sz="0" w:space="0" w:color="auto"/>
      </w:divBdr>
    </w:div>
    <w:div w:id="1371806367">
      <w:bodyDiv w:val="1"/>
      <w:marLeft w:val="0"/>
      <w:marRight w:val="0"/>
      <w:marTop w:val="0"/>
      <w:marBottom w:val="0"/>
      <w:divBdr>
        <w:top w:val="none" w:sz="0" w:space="0" w:color="auto"/>
        <w:left w:val="none" w:sz="0" w:space="0" w:color="auto"/>
        <w:bottom w:val="none" w:sz="0" w:space="0" w:color="auto"/>
        <w:right w:val="none" w:sz="0" w:space="0" w:color="auto"/>
      </w:divBdr>
      <w:divsChild>
        <w:div w:id="1482454777">
          <w:marLeft w:val="0"/>
          <w:marRight w:val="0"/>
          <w:marTop w:val="0"/>
          <w:marBottom w:val="0"/>
          <w:divBdr>
            <w:top w:val="none" w:sz="0" w:space="0" w:color="auto"/>
            <w:left w:val="none" w:sz="0" w:space="0" w:color="auto"/>
            <w:bottom w:val="none" w:sz="0" w:space="0" w:color="auto"/>
            <w:right w:val="none" w:sz="0" w:space="0" w:color="auto"/>
          </w:divBdr>
          <w:divsChild>
            <w:div w:id="731081991">
              <w:marLeft w:val="0"/>
              <w:marRight w:val="0"/>
              <w:marTop w:val="0"/>
              <w:marBottom w:val="0"/>
              <w:divBdr>
                <w:top w:val="none" w:sz="0" w:space="0" w:color="auto"/>
                <w:left w:val="none" w:sz="0" w:space="0" w:color="auto"/>
                <w:bottom w:val="none" w:sz="0" w:space="0" w:color="auto"/>
                <w:right w:val="none" w:sz="0" w:space="0" w:color="auto"/>
              </w:divBdr>
              <w:divsChild>
                <w:div w:id="189045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771">
      <w:bodyDiv w:val="1"/>
      <w:marLeft w:val="0"/>
      <w:marRight w:val="0"/>
      <w:marTop w:val="0"/>
      <w:marBottom w:val="0"/>
      <w:divBdr>
        <w:top w:val="none" w:sz="0" w:space="0" w:color="auto"/>
        <w:left w:val="none" w:sz="0" w:space="0" w:color="auto"/>
        <w:bottom w:val="none" w:sz="0" w:space="0" w:color="auto"/>
        <w:right w:val="none" w:sz="0" w:space="0" w:color="auto"/>
      </w:divBdr>
    </w:div>
    <w:div w:id="1739942249">
      <w:bodyDiv w:val="1"/>
      <w:marLeft w:val="0"/>
      <w:marRight w:val="0"/>
      <w:marTop w:val="0"/>
      <w:marBottom w:val="0"/>
      <w:divBdr>
        <w:top w:val="none" w:sz="0" w:space="0" w:color="auto"/>
        <w:left w:val="none" w:sz="0" w:space="0" w:color="auto"/>
        <w:bottom w:val="none" w:sz="0" w:space="0" w:color="auto"/>
        <w:right w:val="none" w:sz="0" w:space="0" w:color="auto"/>
      </w:divBdr>
    </w:div>
    <w:div w:id="1762601064">
      <w:bodyDiv w:val="1"/>
      <w:marLeft w:val="0"/>
      <w:marRight w:val="0"/>
      <w:marTop w:val="0"/>
      <w:marBottom w:val="0"/>
      <w:divBdr>
        <w:top w:val="none" w:sz="0" w:space="0" w:color="auto"/>
        <w:left w:val="none" w:sz="0" w:space="0" w:color="auto"/>
        <w:bottom w:val="none" w:sz="0" w:space="0" w:color="auto"/>
        <w:right w:val="none" w:sz="0" w:space="0" w:color="auto"/>
      </w:divBdr>
      <w:divsChild>
        <w:div w:id="1588465808">
          <w:marLeft w:val="0"/>
          <w:marRight w:val="0"/>
          <w:marTop w:val="0"/>
          <w:marBottom w:val="0"/>
          <w:divBdr>
            <w:top w:val="none" w:sz="0" w:space="0" w:color="auto"/>
            <w:left w:val="none" w:sz="0" w:space="0" w:color="auto"/>
            <w:bottom w:val="none" w:sz="0" w:space="0" w:color="auto"/>
            <w:right w:val="none" w:sz="0" w:space="0" w:color="auto"/>
          </w:divBdr>
          <w:divsChild>
            <w:div w:id="1734891572">
              <w:marLeft w:val="0"/>
              <w:marRight w:val="0"/>
              <w:marTop w:val="0"/>
              <w:marBottom w:val="0"/>
              <w:divBdr>
                <w:top w:val="none" w:sz="0" w:space="0" w:color="auto"/>
                <w:left w:val="none" w:sz="0" w:space="0" w:color="auto"/>
                <w:bottom w:val="none" w:sz="0" w:space="0" w:color="auto"/>
                <w:right w:val="none" w:sz="0" w:space="0" w:color="auto"/>
              </w:divBdr>
              <w:divsChild>
                <w:div w:id="152177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68258">
          <w:marLeft w:val="0"/>
          <w:marRight w:val="0"/>
          <w:marTop w:val="0"/>
          <w:marBottom w:val="0"/>
          <w:divBdr>
            <w:top w:val="none" w:sz="0" w:space="0" w:color="auto"/>
            <w:left w:val="none" w:sz="0" w:space="0" w:color="auto"/>
            <w:bottom w:val="none" w:sz="0" w:space="0" w:color="auto"/>
            <w:right w:val="none" w:sz="0" w:space="0" w:color="auto"/>
          </w:divBdr>
          <w:divsChild>
            <w:div w:id="134179416">
              <w:marLeft w:val="0"/>
              <w:marRight w:val="0"/>
              <w:marTop w:val="0"/>
              <w:marBottom w:val="0"/>
              <w:divBdr>
                <w:top w:val="none" w:sz="0" w:space="0" w:color="auto"/>
                <w:left w:val="none" w:sz="0" w:space="0" w:color="auto"/>
                <w:bottom w:val="none" w:sz="0" w:space="0" w:color="auto"/>
                <w:right w:val="none" w:sz="0" w:space="0" w:color="auto"/>
              </w:divBdr>
              <w:divsChild>
                <w:div w:id="185475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40094">
          <w:marLeft w:val="0"/>
          <w:marRight w:val="0"/>
          <w:marTop w:val="0"/>
          <w:marBottom w:val="0"/>
          <w:divBdr>
            <w:top w:val="none" w:sz="0" w:space="0" w:color="auto"/>
            <w:left w:val="none" w:sz="0" w:space="0" w:color="auto"/>
            <w:bottom w:val="none" w:sz="0" w:space="0" w:color="auto"/>
            <w:right w:val="none" w:sz="0" w:space="0" w:color="auto"/>
          </w:divBdr>
          <w:divsChild>
            <w:div w:id="1497183234">
              <w:marLeft w:val="0"/>
              <w:marRight w:val="0"/>
              <w:marTop w:val="0"/>
              <w:marBottom w:val="0"/>
              <w:divBdr>
                <w:top w:val="none" w:sz="0" w:space="0" w:color="auto"/>
                <w:left w:val="none" w:sz="0" w:space="0" w:color="auto"/>
                <w:bottom w:val="none" w:sz="0" w:space="0" w:color="auto"/>
                <w:right w:val="none" w:sz="0" w:space="0" w:color="auto"/>
              </w:divBdr>
              <w:divsChild>
                <w:div w:id="12314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1728</Words>
  <Characters>9854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BaDoi Nguyen</dc:creator>
  <cp:keywords/>
  <dc:description/>
  <cp:lastModifiedBy>Badoi Phan</cp:lastModifiedBy>
  <cp:revision>31</cp:revision>
  <dcterms:created xsi:type="dcterms:W3CDTF">2019-07-04T14:59:00Z</dcterms:created>
  <dcterms:modified xsi:type="dcterms:W3CDTF">2020-12-03T15:17:00Z</dcterms:modified>
</cp:coreProperties>
</file>